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0C" w:rsidRPr="00777914" w:rsidRDefault="004D2455" w:rsidP="00777914">
      <w:pPr>
        <w:pStyle w:val="NoSpacing"/>
        <w:jc w:val="center"/>
        <w:rPr>
          <w:rFonts w:ascii="Arial" w:hAnsi="Arial" w:cs="Arial"/>
          <w:sz w:val="28"/>
          <w:szCs w:val="28"/>
          <w:u w:val="single"/>
        </w:rPr>
      </w:pPr>
      <w:r w:rsidRPr="00777914">
        <w:rPr>
          <w:rFonts w:ascii="Arial" w:hAnsi="Arial" w:cs="Arial"/>
          <w:sz w:val="28"/>
          <w:szCs w:val="28"/>
          <w:u w:val="single"/>
        </w:rPr>
        <w:t xml:space="preserve">Secondary </w:t>
      </w:r>
      <w:r w:rsidR="00777914" w:rsidRPr="00777914">
        <w:rPr>
          <w:rFonts w:ascii="Arial" w:hAnsi="Arial" w:cs="Arial"/>
          <w:sz w:val="28"/>
          <w:szCs w:val="28"/>
          <w:u w:val="single"/>
        </w:rPr>
        <w:t xml:space="preserve">Metals </w:t>
      </w:r>
      <w:r w:rsidRPr="00777914">
        <w:rPr>
          <w:rFonts w:ascii="Arial" w:hAnsi="Arial" w:cs="Arial"/>
          <w:sz w:val="28"/>
          <w:szCs w:val="28"/>
          <w:u w:val="single"/>
        </w:rPr>
        <w:t>Recyclers</w:t>
      </w:r>
    </w:p>
    <w:p w:rsidR="004D2455" w:rsidRDefault="004D2455" w:rsidP="002573CC">
      <w:pPr>
        <w:pStyle w:val="NoSpacing"/>
        <w:rPr>
          <w:rFonts w:ascii="Arial" w:hAnsi="Arial" w:cs="Arial"/>
        </w:rPr>
      </w:pPr>
    </w:p>
    <w:p w:rsidR="006578E0" w:rsidRDefault="006578E0" w:rsidP="002573CC">
      <w:pPr>
        <w:pStyle w:val="NoSpacing"/>
        <w:rPr>
          <w:rFonts w:ascii="Arial" w:hAnsi="Arial" w:cs="Arial"/>
          <w:b/>
        </w:rPr>
      </w:pPr>
    </w:p>
    <w:p w:rsidR="004D2455" w:rsidRPr="005C1FE6" w:rsidRDefault="004D2455" w:rsidP="00EB483E">
      <w:pPr>
        <w:pStyle w:val="NoSpacing"/>
        <w:jc w:val="both"/>
        <w:rPr>
          <w:rFonts w:ascii="Arial" w:hAnsi="Arial" w:cs="Arial"/>
          <w:b/>
        </w:rPr>
      </w:pPr>
      <w:r w:rsidRPr="005C1FE6">
        <w:rPr>
          <w:rFonts w:ascii="Arial" w:hAnsi="Arial" w:cs="Arial"/>
          <w:b/>
        </w:rPr>
        <w:t>Who regulates secondary metal</w:t>
      </w:r>
      <w:r w:rsidR="005C1FE6" w:rsidRPr="005C1FE6">
        <w:rPr>
          <w:rFonts w:ascii="Arial" w:hAnsi="Arial" w:cs="Arial"/>
          <w:b/>
        </w:rPr>
        <w:t>s</w:t>
      </w:r>
      <w:r w:rsidRPr="005C1FE6">
        <w:rPr>
          <w:rFonts w:ascii="Arial" w:hAnsi="Arial" w:cs="Arial"/>
          <w:b/>
        </w:rPr>
        <w:t xml:space="preserve"> recyclers?</w:t>
      </w:r>
    </w:p>
    <w:p w:rsidR="004D2455" w:rsidRDefault="004D2455" w:rsidP="00EB483E">
      <w:pPr>
        <w:pStyle w:val="NoSpacing"/>
        <w:jc w:val="both"/>
        <w:rPr>
          <w:rFonts w:ascii="Arial" w:hAnsi="Arial" w:cs="Arial"/>
        </w:rPr>
      </w:pPr>
    </w:p>
    <w:p w:rsidR="00903E6C" w:rsidRDefault="00903E6C" w:rsidP="00EB483E">
      <w:pPr>
        <w:pStyle w:val="NoSpacing"/>
        <w:ind w:left="360"/>
        <w:jc w:val="both"/>
        <w:rPr>
          <w:rFonts w:ascii="Arial" w:hAnsi="Arial" w:cs="Arial"/>
        </w:rPr>
      </w:pPr>
      <w:r w:rsidRPr="00903E6C">
        <w:rPr>
          <w:rFonts w:ascii="Arial" w:hAnsi="Arial" w:cs="Arial"/>
        </w:rPr>
        <w:t xml:space="preserve">Local law enforcement and three state agencies </w:t>
      </w:r>
      <w:r w:rsidR="00393C2B">
        <w:rPr>
          <w:rFonts w:ascii="Arial" w:hAnsi="Arial" w:cs="Arial"/>
        </w:rPr>
        <w:t>have statutory obligation</w:t>
      </w:r>
      <w:r w:rsidR="00D63048">
        <w:rPr>
          <w:rFonts w:ascii="Arial" w:hAnsi="Arial" w:cs="Arial"/>
        </w:rPr>
        <w:t>s</w:t>
      </w:r>
      <w:r w:rsidR="00393C2B">
        <w:rPr>
          <w:rFonts w:ascii="Arial" w:hAnsi="Arial" w:cs="Arial"/>
        </w:rPr>
        <w:t xml:space="preserve"> regarding </w:t>
      </w:r>
      <w:r w:rsidRPr="00903E6C">
        <w:rPr>
          <w:rFonts w:ascii="Arial" w:hAnsi="Arial" w:cs="Arial"/>
        </w:rPr>
        <w:t xml:space="preserve">Florida's secondhand dealers, mail-in secondhand dealers, and secondary metals recyclers. </w:t>
      </w:r>
      <w:r w:rsidR="00552103">
        <w:rPr>
          <w:rFonts w:ascii="Arial" w:hAnsi="Arial" w:cs="Arial"/>
        </w:rPr>
        <w:t xml:space="preserve">(Chapter 538, F.S.)  </w:t>
      </w:r>
    </w:p>
    <w:p w:rsidR="00D63048" w:rsidRPr="005C1FE6" w:rsidRDefault="00D63048" w:rsidP="00EB483E">
      <w:pPr>
        <w:pStyle w:val="NoSpacing"/>
        <w:ind w:left="360"/>
        <w:jc w:val="both"/>
        <w:rPr>
          <w:rFonts w:ascii="Arial" w:hAnsi="Arial" w:cs="Arial"/>
        </w:rPr>
      </w:pPr>
    </w:p>
    <w:p w:rsidR="005C1FE6" w:rsidRPr="005C1FE6" w:rsidRDefault="005C1FE6" w:rsidP="00EB483E">
      <w:pPr>
        <w:pStyle w:val="NoSpacing"/>
        <w:ind w:left="720"/>
        <w:jc w:val="both"/>
        <w:rPr>
          <w:rFonts w:ascii="Arial" w:hAnsi="Arial" w:cs="Arial"/>
        </w:rPr>
      </w:pPr>
      <w:r w:rsidRPr="008E0ED4">
        <w:rPr>
          <w:rStyle w:val="Strong"/>
          <w:rFonts w:ascii="Arial" w:hAnsi="Arial" w:cs="Arial"/>
          <w:b w:val="0"/>
          <w:u w:val="single"/>
        </w:rPr>
        <w:t>Local law enforcement</w:t>
      </w:r>
      <w:r w:rsidR="00393C2B" w:rsidRPr="008E0ED4">
        <w:rPr>
          <w:rStyle w:val="Strong"/>
          <w:rFonts w:ascii="Arial" w:hAnsi="Arial" w:cs="Arial"/>
          <w:b w:val="0"/>
          <w:u w:val="single"/>
        </w:rPr>
        <w:t xml:space="preserve"> </w:t>
      </w:r>
      <w:r w:rsidR="00393C2B">
        <w:rPr>
          <w:rStyle w:val="Strong"/>
          <w:rFonts w:ascii="Arial" w:hAnsi="Arial" w:cs="Arial"/>
          <w:b w:val="0"/>
        </w:rPr>
        <w:t>-</w:t>
      </w:r>
      <w:r w:rsidRPr="005C1FE6">
        <w:rPr>
          <w:rFonts w:ascii="Arial" w:hAnsi="Arial" w:cs="Arial"/>
        </w:rPr>
        <w:t xml:space="preserve"> </w:t>
      </w:r>
      <w:r w:rsidR="00393C2B">
        <w:rPr>
          <w:rFonts w:ascii="Arial" w:hAnsi="Arial" w:cs="Arial"/>
        </w:rPr>
        <w:t>E</w:t>
      </w:r>
      <w:r w:rsidRPr="005C1FE6">
        <w:rPr>
          <w:rFonts w:ascii="Arial" w:hAnsi="Arial" w:cs="Arial"/>
        </w:rPr>
        <w:t>nforces secondhand dealer, mail-in secondhand dealer, and secondary metals recycler compliance with registration, recordkeeping, holding period, and inspection requirements. Citizens or business owners should c</w:t>
      </w:r>
      <w:r w:rsidR="00D63048">
        <w:rPr>
          <w:rFonts w:ascii="Arial" w:hAnsi="Arial" w:cs="Arial"/>
        </w:rPr>
        <w:t>ontact their</w:t>
      </w:r>
      <w:r w:rsidRPr="005C1FE6">
        <w:rPr>
          <w:rFonts w:ascii="Arial" w:hAnsi="Arial" w:cs="Arial"/>
        </w:rPr>
        <w:t xml:space="preserve"> local police or sheriff's department with questions about these requirements.</w:t>
      </w:r>
    </w:p>
    <w:p w:rsidR="005C1FE6" w:rsidRPr="00903E6C" w:rsidRDefault="005C1FE6" w:rsidP="00EB483E">
      <w:pPr>
        <w:pStyle w:val="NoSpacing"/>
        <w:ind w:left="360"/>
        <w:jc w:val="both"/>
        <w:rPr>
          <w:rFonts w:ascii="Arial" w:hAnsi="Arial" w:cs="Arial"/>
        </w:rPr>
      </w:pPr>
    </w:p>
    <w:p w:rsidR="000363D5" w:rsidRDefault="00903E6C" w:rsidP="00EB483E">
      <w:pPr>
        <w:pStyle w:val="NoSpacing"/>
        <w:ind w:left="720"/>
        <w:jc w:val="both"/>
        <w:rPr>
          <w:rFonts w:ascii="Arial" w:hAnsi="Arial" w:cs="Arial"/>
        </w:rPr>
      </w:pPr>
      <w:r w:rsidRPr="008E0ED4">
        <w:rPr>
          <w:rFonts w:ascii="Arial" w:hAnsi="Arial" w:cs="Arial"/>
          <w:u w:val="single"/>
        </w:rPr>
        <w:t>Florida Department of Revenue</w:t>
      </w:r>
      <w:r w:rsidR="00D63048">
        <w:rPr>
          <w:rFonts w:ascii="Arial" w:hAnsi="Arial" w:cs="Arial"/>
          <w:u w:val="single"/>
        </w:rPr>
        <w:t xml:space="preserve"> (DOR)</w:t>
      </w:r>
      <w:r>
        <w:rPr>
          <w:rFonts w:ascii="Arial" w:hAnsi="Arial" w:cs="Arial"/>
        </w:rPr>
        <w:t xml:space="preserve"> </w:t>
      </w:r>
      <w:r w:rsidR="00D63048">
        <w:rPr>
          <w:rFonts w:ascii="Arial" w:hAnsi="Arial" w:cs="Arial"/>
        </w:rPr>
        <w:t>–</w:t>
      </w:r>
      <w:r w:rsidR="00393C2B">
        <w:rPr>
          <w:rFonts w:ascii="Arial" w:hAnsi="Arial" w:cs="Arial"/>
        </w:rPr>
        <w:t xml:space="preserve"> </w:t>
      </w:r>
      <w:r w:rsidR="00D63048">
        <w:rPr>
          <w:rFonts w:ascii="Arial" w:hAnsi="Arial" w:cs="Arial"/>
        </w:rPr>
        <w:t>Maintains the</w:t>
      </w:r>
      <w:r w:rsidRPr="00903E6C">
        <w:rPr>
          <w:rFonts w:ascii="Arial" w:hAnsi="Arial" w:cs="Arial"/>
        </w:rPr>
        <w:t xml:space="preserve"> statewide registration system for secondhand dealers, mail-in secondhand dealers, and secondary metals recyclers</w:t>
      </w:r>
      <w:r>
        <w:t xml:space="preserve">.  </w:t>
      </w:r>
      <w:r w:rsidR="004D2455">
        <w:rPr>
          <w:rFonts w:ascii="Arial" w:hAnsi="Arial" w:cs="Arial"/>
        </w:rPr>
        <w:t>Additional information can be found at their Secondhand Dealers and Secondary Metals Recyclers</w:t>
      </w:r>
      <w:r w:rsidR="006B61A1">
        <w:rPr>
          <w:rFonts w:ascii="Arial" w:hAnsi="Arial" w:cs="Arial"/>
        </w:rPr>
        <w:t xml:space="preserve"> </w:t>
      </w:r>
      <w:r w:rsidR="004D2455">
        <w:rPr>
          <w:rFonts w:ascii="Arial" w:hAnsi="Arial" w:cs="Arial"/>
        </w:rPr>
        <w:t xml:space="preserve">Website:  </w:t>
      </w:r>
    </w:p>
    <w:p w:rsidR="004D2455" w:rsidRDefault="008E2BA5" w:rsidP="00EB483E">
      <w:pPr>
        <w:pStyle w:val="NoSpacing"/>
        <w:ind w:left="720"/>
        <w:jc w:val="both"/>
        <w:rPr>
          <w:rFonts w:ascii="Verdana" w:hAnsi="Verdana"/>
          <w:color w:val="000000"/>
          <w:sz w:val="18"/>
          <w:szCs w:val="18"/>
        </w:rPr>
      </w:pPr>
      <w:hyperlink r:id="rId9" w:history="1">
        <w:r w:rsidR="004D2455" w:rsidRPr="006B61A1">
          <w:rPr>
            <w:rStyle w:val="Hyperlink"/>
            <w:rFonts w:ascii="Arial" w:hAnsi="Arial" w:cs="Arial"/>
          </w:rPr>
          <w:t>http://dor.myflorida.com/dor/taxes/secondhand_dealers_recyclers.html</w:t>
        </w:r>
      </w:hyperlink>
    </w:p>
    <w:p w:rsidR="00903E6C" w:rsidRDefault="00903E6C" w:rsidP="00EB483E">
      <w:pPr>
        <w:pStyle w:val="NoSpacing"/>
        <w:ind w:left="360"/>
        <w:jc w:val="both"/>
        <w:rPr>
          <w:rFonts w:ascii="Verdana" w:hAnsi="Verdana"/>
          <w:color w:val="000000"/>
          <w:sz w:val="18"/>
          <w:szCs w:val="18"/>
        </w:rPr>
      </w:pPr>
    </w:p>
    <w:p w:rsidR="00903E6C" w:rsidRDefault="00903E6C" w:rsidP="00EB483E">
      <w:pPr>
        <w:pStyle w:val="NoSpacing"/>
        <w:ind w:left="720"/>
        <w:jc w:val="both"/>
        <w:rPr>
          <w:rFonts w:ascii="Arial" w:hAnsi="Arial" w:cs="Arial"/>
        </w:rPr>
      </w:pPr>
      <w:r w:rsidRPr="008E0ED4">
        <w:rPr>
          <w:rStyle w:val="Strong"/>
          <w:rFonts w:ascii="Arial" w:hAnsi="Arial" w:cs="Arial"/>
          <w:b w:val="0"/>
          <w:bCs w:val="0"/>
          <w:u w:val="single"/>
        </w:rPr>
        <w:t>Florida Department of Highway Safety &amp; Motor Vehicles (DHSMV)</w:t>
      </w:r>
      <w:r w:rsidR="00393C2B">
        <w:rPr>
          <w:rStyle w:val="Strong"/>
          <w:rFonts w:ascii="Arial" w:hAnsi="Arial" w:cs="Arial"/>
          <w:b w:val="0"/>
          <w:bCs w:val="0"/>
        </w:rPr>
        <w:t xml:space="preserve"> -</w:t>
      </w:r>
      <w:r w:rsidRPr="00903E6C">
        <w:rPr>
          <w:rFonts w:ascii="Arial" w:hAnsi="Arial" w:cs="Arial"/>
        </w:rPr>
        <w:t xml:space="preserve"> </w:t>
      </w:r>
      <w:r w:rsidR="00393C2B">
        <w:rPr>
          <w:rFonts w:ascii="Arial" w:hAnsi="Arial" w:cs="Arial"/>
        </w:rPr>
        <w:t>O</w:t>
      </w:r>
      <w:r w:rsidRPr="00903E6C">
        <w:rPr>
          <w:rFonts w:ascii="Arial" w:hAnsi="Arial" w:cs="Arial"/>
        </w:rPr>
        <w:t xml:space="preserve">versees recordkeeping, proof of ownership, reporting, and enforcement of state laws related to the dismantling or destruction of motor vehicles, recreational vehicles, and mobile homes by salvage motor vehicle dealers and secondary metals recyclers (Chapter 319, F.S.). </w:t>
      </w:r>
      <w:r>
        <w:rPr>
          <w:rFonts w:ascii="Arial" w:hAnsi="Arial" w:cs="Arial"/>
        </w:rPr>
        <w:t xml:space="preserve"> </w:t>
      </w:r>
      <w:r w:rsidRPr="00903E6C">
        <w:rPr>
          <w:rFonts w:ascii="Arial" w:hAnsi="Arial" w:cs="Arial"/>
        </w:rPr>
        <w:t xml:space="preserve">Depending on the type of materials obtained, certain businesses may be required to register as a </w:t>
      </w:r>
      <w:r w:rsidRPr="00903E6C">
        <w:rPr>
          <w:rStyle w:val="Strong"/>
          <w:rFonts w:ascii="Arial" w:hAnsi="Arial" w:cs="Arial"/>
          <w:b w:val="0"/>
          <w:bCs w:val="0"/>
        </w:rPr>
        <w:t>salvage motor vehicle dealer</w:t>
      </w:r>
      <w:r w:rsidRPr="00903E6C">
        <w:rPr>
          <w:rFonts w:ascii="Arial" w:hAnsi="Arial" w:cs="Arial"/>
        </w:rPr>
        <w:t xml:space="preserve"> </w:t>
      </w:r>
      <w:r w:rsidR="006D0B36">
        <w:rPr>
          <w:rFonts w:ascii="Arial" w:hAnsi="Arial" w:cs="Arial"/>
        </w:rPr>
        <w:t>in addition to registration as a secondary metals recycler</w:t>
      </w:r>
      <w:r w:rsidRPr="00903E6C">
        <w:rPr>
          <w:rFonts w:ascii="Arial" w:hAnsi="Arial" w:cs="Arial"/>
        </w:rPr>
        <w:t>.</w:t>
      </w:r>
      <w:r w:rsidR="004E2B40">
        <w:rPr>
          <w:rFonts w:ascii="Arial" w:hAnsi="Arial" w:cs="Arial"/>
        </w:rPr>
        <w:t xml:space="preserve"> (</w:t>
      </w:r>
      <w:r w:rsidR="000363D5">
        <w:rPr>
          <w:rFonts w:ascii="Arial" w:hAnsi="Arial" w:cs="Arial"/>
        </w:rPr>
        <w:t xml:space="preserve">Section </w:t>
      </w:r>
      <w:r w:rsidR="004E2B40">
        <w:rPr>
          <w:rFonts w:ascii="Arial" w:hAnsi="Arial" w:cs="Arial"/>
        </w:rPr>
        <w:t>320.27, F.S)</w:t>
      </w:r>
      <w:r w:rsidR="00C542EA">
        <w:rPr>
          <w:rFonts w:ascii="Arial" w:hAnsi="Arial" w:cs="Arial"/>
        </w:rPr>
        <w:t xml:space="preserve"> </w:t>
      </w:r>
      <w:hyperlink r:id="rId10" w:history="1">
        <w:r w:rsidR="00C65EEF" w:rsidRPr="001B1A84">
          <w:rPr>
            <w:rStyle w:val="Hyperlink"/>
            <w:rFonts w:ascii="Arial" w:hAnsi="Arial" w:cs="Arial"/>
          </w:rPr>
          <w:t>https://www.flhsmv.gov/motor-vehicles-tags-titles/dealers-installers-manufacturers-distributors-importers/</w:t>
        </w:r>
      </w:hyperlink>
      <w:r w:rsidR="00C65EEF">
        <w:rPr>
          <w:rFonts w:ascii="Arial" w:hAnsi="Arial" w:cs="Arial"/>
        </w:rPr>
        <w:t xml:space="preserve"> </w:t>
      </w:r>
      <w:bookmarkStart w:id="0" w:name="_GoBack"/>
      <w:bookmarkEnd w:id="0"/>
    </w:p>
    <w:p w:rsidR="004D2455" w:rsidRDefault="004D2455" w:rsidP="00EB483E">
      <w:pPr>
        <w:pStyle w:val="NoSpacing"/>
        <w:ind w:left="360"/>
        <w:jc w:val="both"/>
        <w:rPr>
          <w:rFonts w:ascii="Verdana" w:hAnsi="Verdana"/>
          <w:color w:val="000000"/>
          <w:sz w:val="18"/>
          <w:szCs w:val="18"/>
        </w:rPr>
      </w:pPr>
    </w:p>
    <w:p w:rsidR="006A4F7E" w:rsidRDefault="00393C2B" w:rsidP="00EB483E">
      <w:pPr>
        <w:pStyle w:val="NoSpacing"/>
        <w:ind w:left="720"/>
        <w:jc w:val="both"/>
        <w:rPr>
          <w:rFonts w:ascii="Arial" w:hAnsi="Arial" w:cs="Arial"/>
        </w:rPr>
      </w:pPr>
      <w:r w:rsidRPr="006B61A1">
        <w:rPr>
          <w:rFonts w:ascii="Arial" w:hAnsi="Arial" w:cs="Arial"/>
          <w:u w:val="single"/>
        </w:rPr>
        <w:t>Florida Department of Law Enforcement</w:t>
      </w:r>
      <w:r w:rsidR="00D63048">
        <w:rPr>
          <w:rFonts w:ascii="Arial" w:hAnsi="Arial" w:cs="Arial"/>
          <w:u w:val="single"/>
        </w:rPr>
        <w:t xml:space="preserve"> (FDLE)</w:t>
      </w:r>
      <w:r>
        <w:rPr>
          <w:rFonts w:ascii="Arial" w:hAnsi="Arial" w:cs="Arial"/>
        </w:rPr>
        <w:t xml:space="preserve"> - A</w:t>
      </w:r>
      <w:r w:rsidR="004D2455" w:rsidRPr="004D2455">
        <w:rPr>
          <w:rFonts w:ascii="Arial" w:hAnsi="Arial" w:cs="Arial"/>
        </w:rPr>
        <w:t xml:space="preserve">pproves transaction forms that </w:t>
      </w:r>
      <w:r w:rsidR="006B36FA">
        <w:rPr>
          <w:rFonts w:ascii="Arial" w:hAnsi="Arial" w:cs="Arial"/>
        </w:rPr>
        <w:t>document the sale/purchase of secondary metals</w:t>
      </w:r>
      <w:r w:rsidR="0004255B">
        <w:rPr>
          <w:rFonts w:ascii="Arial" w:hAnsi="Arial" w:cs="Arial"/>
        </w:rPr>
        <w:t>.</w:t>
      </w:r>
      <w:r w:rsidR="006B36FA">
        <w:rPr>
          <w:rFonts w:ascii="Arial" w:hAnsi="Arial" w:cs="Arial"/>
        </w:rPr>
        <w:t xml:space="preserve"> </w:t>
      </w:r>
      <w:r w:rsidR="0004255B">
        <w:rPr>
          <w:rFonts w:ascii="Arial" w:hAnsi="Arial" w:cs="Arial"/>
        </w:rPr>
        <w:t>S</w:t>
      </w:r>
      <w:r w:rsidR="004D2455" w:rsidRPr="004D2455">
        <w:rPr>
          <w:rFonts w:ascii="Arial" w:hAnsi="Arial" w:cs="Arial"/>
        </w:rPr>
        <w:t xml:space="preserve">econdary metals recyclers must complete and </w:t>
      </w:r>
      <w:r w:rsidR="006B36FA">
        <w:rPr>
          <w:rFonts w:ascii="Arial" w:hAnsi="Arial" w:cs="Arial"/>
        </w:rPr>
        <w:t xml:space="preserve">maintain </w:t>
      </w:r>
      <w:r w:rsidR="0004255B">
        <w:rPr>
          <w:rFonts w:ascii="Arial" w:hAnsi="Arial" w:cs="Arial"/>
        </w:rPr>
        <w:t xml:space="preserve">these forms </w:t>
      </w:r>
      <w:r w:rsidR="004D2455" w:rsidRPr="004D2455">
        <w:rPr>
          <w:rFonts w:ascii="Arial" w:hAnsi="Arial" w:cs="Arial"/>
        </w:rPr>
        <w:t xml:space="preserve">for specified time periods (Chapter 538, F.S.). </w:t>
      </w:r>
      <w:r w:rsidR="00903E6C">
        <w:rPr>
          <w:rFonts w:ascii="Arial" w:hAnsi="Arial" w:cs="Arial"/>
        </w:rPr>
        <w:t xml:space="preserve"> </w:t>
      </w:r>
    </w:p>
    <w:p w:rsidR="00DB5670" w:rsidRDefault="00DB5670" w:rsidP="00EB483E">
      <w:pPr>
        <w:pStyle w:val="NoSpacing"/>
        <w:jc w:val="both"/>
        <w:rPr>
          <w:rFonts w:ascii="Arial" w:hAnsi="Arial" w:cs="Arial"/>
        </w:rPr>
      </w:pPr>
    </w:p>
    <w:p w:rsidR="00EB4C9F" w:rsidRDefault="000363D5" w:rsidP="00EB483E">
      <w:pPr>
        <w:pStyle w:val="NoSpacing"/>
        <w:jc w:val="both"/>
        <w:rPr>
          <w:rFonts w:ascii="Arial" w:hAnsi="Arial" w:cs="Arial"/>
          <w:b/>
        </w:rPr>
      </w:pPr>
      <w:r>
        <w:rPr>
          <w:rFonts w:ascii="Arial" w:hAnsi="Arial" w:cs="Arial"/>
          <w:b/>
        </w:rPr>
        <w:t>What is</w:t>
      </w:r>
      <w:r w:rsidR="00EB4C9F">
        <w:rPr>
          <w:rFonts w:ascii="Arial" w:hAnsi="Arial" w:cs="Arial"/>
          <w:b/>
        </w:rPr>
        <w:t xml:space="preserve"> the difference between the “FDLE approved form”, an “alternate form”, and an “electronic format”?</w:t>
      </w:r>
    </w:p>
    <w:p w:rsidR="00EB4C9F" w:rsidRDefault="00EB4C9F" w:rsidP="00EB483E">
      <w:pPr>
        <w:pStyle w:val="NoSpacing"/>
        <w:jc w:val="both"/>
        <w:rPr>
          <w:rFonts w:ascii="Arial" w:hAnsi="Arial" w:cs="Arial"/>
          <w:b/>
        </w:rPr>
      </w:pPr>
    </w:p>
    <w:p w:rsidR="00FC1831" w:rsidRPr="006B61A1" w:rsidRDefault="00EB4C9F" w:rsidP="00EB483E">
      <w:pPr>
        <w:pStyle w:val="NoSpacing"/>
        <w:ind w:left="720"/>
        <w:jc w:val="both"/>
        <w:rPr>
          <w:rFonts w:ascii="Arial" w:hAnsi="Arial" w:cs="Arial"/>
        </w:rPr>
      </w:pPr>
      <w:r w:rsidRPr="006B61A1">
        <w:rPr>
          <w:rFonts w:ascii="Arial" w:hAnsi="Arial" w:cs="Arial"/>
          <w:u w:val="single"/>
        </w:rPr>
        <w:t>FDLE Approved Form</w:t>
      </w:r>
      <w:r>
        <w:rPr>
          <w:rFonts w:ascii="Arial" w:hAnsi="Arial" w:cs="Arial"/>
        </w:rPr>
        <w:t xml:space="preserve"> – a form designed and approved by FDLE. It is available in a PDF format that can be </w:t>
      </w:r>
      <w:r w:rsidR="000363D5">
        <w:rPr>
          <w:rFonts w:ascii="Arial" w:hAnsi="Arial" w:cs="Arial"/>
        </w:rPr>
        <w:t>completed</w:t>
      </w:r>
      <w:r>
        <w:rPr>
          <w:rFonts w:ascii="Arial" w:hAnsi="Arial" w:cs="Arial"/>
        </w:rPr>
        <w:t xml:space="preserve"> electronically, but it </w:t>
      </w:r>
      <w:r w:rsidR="000363D5">
        <w:rPr>
          <w:rFonts w:ascii="Arial" w:hAnsi="Arial" w:cs="Arial"/>
        </w:rPr>
        <w:t xml:space="preserve">is </w:t>
      </w:r>
      <w:r>
        <w:rPr>
          <w:rFonts w:ascii="Arial" w:hAnsi="Arial" w:cs="Arial"/>
        </w:rPr>
        <w:t>usually printed and maintained as a hard copy document</w:t>
      </w:r>
      <w:r w:rsidR="00FC1831">
        <w:rPr>
          <w:rFonts w:ascii="Arial" w:hAnsi="Arial" w:cs="Arial"/>
        </w:rPr>
        <w:t xml:space="preserve">. </w:t>
      </w:r>
      <w:hyperlink r:id="rId11" w:history="1">
        <w:r w:rsidR="00FC1831" w:rsidRPr="00FC1831">
          <w:rPr>
            <w:rStyle w:val="Hyperlink"/>
            <w:rFonts w:ascii="Arial" w:hAnsi="Arial" w:cs="Arial"/>
          </w:rPr>
          <w:t>(Link here)</w:t>
        </w:r>
      </w:hyperlink>
    </w:p>
    <w:p w:rsidR="00EB4C9F" w:rsidRDefault="00EB4C9F" w:rsidP="00EB483E">
      <w:pPr>
        <w:pStyle w:val="NoSpacing"/>
        <w:jc w:val="both"/>
        <w:rPr>
          <w:rFonts w:ascii="Arial" w:hAnsi="Arial" w:cs="Arial"/>
          <w:b/>
        </w:rPr>
      </w:pPr>
    </w:p>
    <w:p w:rsidR="00EB4C9F" w:rsidRDefault="00EB4C9F" w:rsidP="00EB483E">
      <w:pPr>
        <w:pStyle w:val="NoSpacing"/>
        <w:ind w:left="720"/>
        <w:jc w:val="both"/>
        <w:rPr>
          <w:rFonts w:ascii="Arial" w:hAnsi="Arial" w:cs="Arial"/>
        </w:rPr>
      </w:pPr>
      <w:r w:rsidRPr="006B61A1">
        <w:rPr>
          <w:rFonts w:ascii="Arial" w:hAnsi="Arial" w:cs="Arial"/>
          <w:u w:val="single"/>
        </w:rPr>
        <w:t>Alternate Form</w:t>
      </w:r>
      <w:r w:rsidRPr="006B61A1">
        <w:rPr>
          <w:rFonts w:ascii="Arial" w:hAnsi="Arial" w:cs="Arial"/>
        </w:rPr>
        <w:t xml:space="preserve"> </w:t>
      </w:r>
      <w:r>
        <w:rPr>
          <w:rFonts w:ascii="Arial" w:hAnsi="Arial" w:cs="Arial"/>
        </w:rPr>
        <w:t>–</w:t>
      </w:r>
      <w:r w:rsidRPr="006B61A1">
        <w:rPr>
          <w:rFonts w:ascii="Arial" w:hAnsi="Arial" w:cs="Arial"/>
        </w:rPr>
        <w:t xml:space="preserve"> </w:t>
      </w:r>
      <w:r>
        <w:rPr>
          <w:rFonts w:ascii="Arial" w:hAnsi="Arial" w:cs="Arial"/>
        </w:rPr>
        <w:t>a form designed by a dealer, or by a third-party on behalf of the dealer. It is often generated by software used for electronic record keeping, but might al</w:t>
      </w:r>
      <w:r w:rsidR="000363D5">
        <w:rPr>
          <w:rFonts w:ascii="Arial" w:hAnsi="Arial" w:cs="Arial"/>
        </w:rPr>
        <w:t>so be a hard copy form completed</w:t>
      </w:r>
      <w:r>
        <w:rPr>
          <w:rFonts w:ascii="Arial" w:hAnsi="Arial" w:cs="Arial"/>
        </w:rPr>
        <w:t xml:space="preserve"> by hand.  These forms should be </w:t>
      </w:r>
      <w:r w:rsidR="003C1CBB">
        <w:rPr>
          <w:rFonts w:ascii="Arial" w:hAnsi="Arial" w:cs="Arial"/>
        </w:rPr>
        <w:t>submitted to FDLE for review to ensure they meet the statutory requirements for record keeping.</w:t>
      </w:r>
    </w:p>
    <w:p w:rsidR="003C1CBB" w:rsidRDefault="003C1CBB" w:rsidP="00EB483E">
      <w:pPr>
        <w:pStyle w:val="NoSpacing"/>
        <w:ind w:left="720"/>
        <w:jc w:val="both"/>
        <w:rPr>
          <w:rFonts w:ascii="Arial" w:hAnsi="Arial" w:cs="Arial"/>
        </w:rPr>
      </w:pPr>
    </w:p>
    <w:p w:rsidR="003C1CBB" w:rsidRDefault="003C1CBB" w:rsidP="00EB483E">
      <w:pPr>
        <w:pStyle w:val="NoSpacing"/>
        <w:ind w:left="720"/>
        <w:jc w:val="both"/>
        <w:rPr>
          <w:rFonts w:ascii="Arial" w:hAnsi="Arial" w:cs="Arial"/>
        </w:rPr>
      </w:pPr>
      <w:r w:rsidRPr="006B61A1">
        <w:rPr>
          <w:rFonts w:ascii="Arial" w:hAnsi="Arial" w:cs="Arial"/>
          <w:u w:val="single"/>
        </w:rPr>
        <w:t>Electronic Format</w:t>
      </w:r>
      <w:r>
        <w:rPr>
          <w:rFonts w:ascii="Arial" w:hAnsi="Arial" w:cs="Arial"/>
        </w:rPr>
        <w:t xml:space="preserve"> – data elements that are transmitted electronically from the dealer to the local law enforcement agency. A list of required elements is provided on the FDLE website. </w:t>
      </w:r>
      <w:hyperlink r:id="rId12" w:history="1">
        <w:r w:rsidR="00FC1831" w:rsidRPr="00FC1831">
          <w:rPr>
            <w:rStyle w:val="Hyperlink"/>
            <w:rFonts w:ascii="Arial" w:hAnsi="Arial" w:cs="Arial"/>
          </w:rPr>
          <w:t>(Link here)</w:t>
        </w:r>
      </w:hyperlink>
    </w:p>
    <w:p w:rsidR="00EB4C9F" w:rsidRDefault="00EB4C9F" w:rsidP="00EB483E">
      <w:pPr>
        <w:pStyle w:val="NoSpacing"/>
        <w:jc w:val="both"/>
        <w:rPr>
          <w:rFonts w:ascii="Arial" w:hAnsi="Arial" w:cs="Arial"/>
        </w:rPr>
      </w:pPr>
    </w:p>
    <w:p w:rsidR="006A4F7E" w:rsidRPr="009C699E" w:rsidRDefault="006A4F7E" w:rsidP="00EB483E">
      <w:pPr>
        <w:pStyle w:val="NoSpacing"/>
        <w:jc w:val="both"/>
        <w:rPr>
          <w:rFonts w:ascii="Arial" w:hAnsi="Arial" w:cs="Arial"/>
          <w:b/>
        </w:rPr>
      </w:pPr>
      <w:r w:rsidRPr="009C699E">
        <w:rPr>
          <w:rFonts w:ascii="Arial" w:hAnsi="Arial" w:cs="Arial"/>
          <w:b/>
        </w:rPr>
        <w:t>W</w:t>
      </w:r>
      <w:r w:rsidR="000363D5">
        <w:rPr>
          <w:rFonts w:ascii="Arial" w:hAnsi="Arial" w:cs="Arial"/>
          <w:b/>
        </w:rPr>
        <w:t>here can I get a copy of the FDL</w:t>
      </w:r>
      <w:r w:rsidRPr="009C699E">
        <w:rPr>
          <w:rFonts w:ascii="Arial" w:hAnsi="Arial" w:cs="Arial"/>
          <w:b/>
        </w:rPr>
        <w:t>E approved transaction form for secondary metals recyclers?</w:t>
      </w:r>
    </w:p>
    <w:p w:rsidR="006A4F7E" w:rsidRDefault="006A4F7E" w:rsidP="00EB483E">
      <w:pPr>
        <w:pStyle w:val="NoSpacing"/>
        <w:jc w:val="both"/>
        <w:rPr>
          <w:rFonts w:ascii="Arial" w:hAnsi="Arial" w:cs="Arial"/>
        </w:rPr>
      </w:pPr>
    </w:p>
    <w:p w:rsidR="00321DBB" w:rsidRPr="00321DBB" w:rsidRDefault="006A4F7E" w:rsidP="00EB483E">
      <w:pPr>
        <w:pStyle w:val="NoSpacing"/>
        <w:ind w:left="720"/>
        <w:jc w:val="both"/>
        <w:rPr>
          <w:rFonts w:ascii="Arial" w:hAnsi="Arial" w:cs="Arial"/>
        </w:rPr>
      </w:pPr>
      <w:r>
        <w:rPr>
          <w:rFonts w:ascii="Arial" w:hAnsi="Arial" w:cs="Arial"/>
        </w:rPr>
        <w:t>A PDF version of the FDLE</w:t>
      </w:r>
      <w:r w:rsidR="00BB4EE8">
        <w:rPr>
          <w:rFonts w:ascii="Arial" w:hAnsi="Arial" w:cs="Arial"/>
        </w:rPr>
        <w:t xml:space="preserve"> </w:t>
      </w:r>
      <w:r w:rsidR="006B36FA">
        <w:rPr>
          <w:rFonts w:ascii="Arial" w:hAnsi="Arial" w:cs="Arial"/>
        </w:rPr>
        <w:t>approved form</w:t>
      </w:r>
      <w:r>
        <w:rPr>
          <w:rFonts w:ascii="Arial" w:hAnsi="Arial" w:cs="Arial"/>
        </w:rPr>
        <w:t xml:space="preserve"> is available on the FDLE Website</w:t>
      </w:r>
      <w:r w:rsidR="009C699E">
        <w:rPr>
          <w:rFonts w:ascii="Arial" w:hAnsi="Arial" w:cs="Arial"/>
        </w:rPr>
        <w:t>.</w:t>
      </w:r>
      <w:r w:rsidR="006B36FA">
        <w:rPr>
          <w:rFonts w:ascii="Arial" w:hAnsi="Arial" w:cs="Arial"/>
        </w:rPr>
        <w:t xml:space="preserve"> </w:t>
      </w:r>
      <w:hyperlink r:id="rId13" w:history="1">
        <w:r w:rsidR="003C1CBB" w:rsidRPr="00FC1831">
          <w:rPr>
            <w:rStyle w:val="Hyperlink"/>
            <w:rFonts w:ascii="Arial" w:hAnsi="Arial" w:cs="Arial"/>
          </w:rPr>
          <w:t>(</w:t>
        </w:r>
        <w:r w:rsidR="00FC1831" w:rsidRPr="00FC1831">
          <w:rPr>
            <w:rStyle w:val="Hyperlink"/>
            <w:rFonts w:ascii="Arial" w:hAnsi="Arial" w:cs="Arial"/>
          </w:rPr>
          <w:t>Link here</w:t>
        </w:r>
        <w:r w:rsidR="003C1CBB" w:rsidRPr="00FC1831">
          <w:rPr>
            <w:rStyle w:val="Hyperlink"/>
            <w:rFonts w:ascii="Arial" w:hAnsi="Arial" w:cs="Arial"/>
          </w:rPr>
          <w:t>)</w:t>
        </w:r>
      </w:hyperlink>
    </w:p>
    <w:p w:rsidR="006B61A1" w:rsidRPr="00D210D9" w:rsidRDefault="006B61A1" w:rsidP="00EB483E">
      <w:pPr>
        <w:pStyle w:val="NoSpacing"/>
        <w:jc w:val="both"/>
        <w:rPr>
          <w:rFonts w:ascii="Arial" w:hAnsi="Arial" w:cs="Arial"/>
          <w:b/>
          <w:u w:val="single"/>
        </w:rPr>
      </w:pPr>
    </w:p>
    <w:p w:rsidR="00903E6C" w:rsidRDefault="00903E6C" w:rsidP="00EB483E">
      <w:pPr>
        <w:pStyle w:val="NoSpacing"/>
        <w:jc w:val="both"/>
        <w:rPr>
          <w:rFonts w:ascii="Arial" w:hAnsi="Arial" w:cs="Arial"/>
        </w:rPr>
      </w:pPr>
    </w:p>
    <w:p w:rsidR="00994778" w:rsidRDefault="00994778" w:rsidP="00EB483E">
      <w:pPr>
        <w:pStyle w:val="NoSpacing"/>
        <w:jc w:val="both"/>
        <w:rPr>
          <w:rFonts w:ascii="Arial" w:hAnsi="Arial" w:cs="Arial"/>
          <w:b/>
        </w:rPr>
      </w:pPr>
    </w:p>
    <w:p w:rsidR="00903E6C" w:rsidRPr="005D5512" w:rsidRDefault="00903E6C" w:rsidP="00EB483E">
      <w:pPr>
        <w:pStyle w:val="NoSpacing"/>
        <w:jc w:val="both"/>
        <w:rPr>
          <w:rFonts w:ascii="Arial" w:hAnsi="Arial" w:cs="Arial"/>
          <w:b/>
        </w:rPr>
      </w:pPr>
      <w:r w:rsidRPr="005D5512">
        <w:rPr>
          <w:rFonts w:ascii="Arial" w:hAnsi="Arial" w:cs="Arial"/>
          <w:b/>
        </w:rPr>
        <w:t>Is the secondary metal recyclers</w:t>
      </w:r>
      <w:r w:rsidR="00BB4EE8">
        <w:rPr>
          <w:rFonts w:ascii="Arial" w:hAnsi="Arial" w:cs="Arial"/>
          <w:b/>
        </w:rPr>
        <w:t xml:space="preserve"> </w:t>
      </w:r>
      <w:r w:rsidRPr="005D5512">
        <w:rPr>
          <w:rFonts w:ascii="Arial" w:hAnsi="Arial" w:cs="Arial"/>
          <w:b/>
        </w:rPr>
        <w:t>form posted on FDLE’s Website the only acceptable form?</w:t>
      </w:r>
    </w:p>
    <w:p w:rsidR="00321DBB" w:rsidRDefault="00321DBB" w:rsidP="00EB483E">
      <w:pPr>
        <w:pStyle w:val="NoSpacing"/>
        <w:jc w:val="both"/>
        <w:rPr>
          <w:rFonts w:ascii="Arial" w:hAnsi="Arial" w:cs="Arial"/>
        </w:rPr>
      </w:pPr>
    </w:p>
    <w:p w:rsidR="00321DBB" w:rsidRDefault="00903E6C" w:rsidP="00EB483E">
      <w:pPr>
        <w:pStyle w:val="NoSpacing"/>
        <w:ind w:left="720"/>
        <w:jc w:val="both"/>
        <w:rPr>
          <w:rFonts w:ascii="Arial" w:hAnsi="Arial" w:cs="Arial"/>
        </w:rPr>
      </w:pPr>
      <w:r w:rsidRPr="00321DBB">
        <w:rPr>
          <w:rFonts w:ascii="Arial" w:hAnsi="Arial" w:cs="Arial"/>
        </w:rPr>
        <w:t>No</w:t>
      </w:r>
      <w:r w:rsidR="00DB5670">
        <w:rPr>
          <w:rFonts w:ascii="Arial" w:hAnsi="Arial" w:cs="Arial"/>
        </w:rPr>
        <w:t xml:space="preserve">. </w:t>
      </w:r>
      <w:r w:rsidR="00BB4EE8">
        <w:rPr>
          <w:rFonts w:ascii="Arial" w:hAnsi="Arial" w:cs="Arial"/>
        </w:rPr>
        <w:t>Alternate</w:t>
      </w:r>
      <w:r w:rsidRPr="00321DBB">
        <w:rPr>
          <w:rFonts w:ascii="Arial" w:hAnsi="Arial" w:cs="Arial"/>
        </w:rPr>
        <w:t xml:space="preserve"> form</w:t>
      </w:r>
      <w:r w:rsidR="0004255B">
        <w:rPr>
          <w:rFonts w:ascii="Arial" w:hAnsi="Arial" w:cs="Arial"/>
        </w:rPr>
        <w:t>s</w:t>
      </w:r>
      <w:r w:rsidRPr="00321DBB">
        <w:rPr>
          <w:rFonts w:ascii="Arial" w:hAnsi="Arial" w:cs="Arial"/>
        </w:rPr>
        <w:t xml:space="preserve"> may be used, but </w:t>
      </w:r>
      <w:r w:rsidR="00DB5670">
        <w:rPr>
          <w:rFonts w:ascii="Arial" w:hAnsi="Arial" w:cs="Arial"/>
        </w:rPr>
        <w:t xml:space="preserve">they </w:t>
      </w:r>
      <w:r w:rsidR="0004255B">
        <w:rPr>
          <w:rFonts w:ascii="Arial" w:hAnsi="Arial" w:cs="Arial"/>
        </w:rPr>
        <w:t xml:space="preserve">must </w:t>
      </w:r>
      <w:r w:rsidR="00DB5670">
        <w:rPr>
          <w:rFonts w:ascii="Arial" w:hAnsi="Arial" w:cs="Arial"/>
        </w:rPr>
        <w:t xml:space="preserve">include </w:t>
      </w:r>
      <w:r w:rsidR="0004255B" w:rsidRPr="008E0ED4">
        <w:rPr>
          <w:rFonts w:ascii="Arial" w:hAnsi="Arial" w:cs="Arial"/>
          <w:u w:val="single"/>
        </w:rPr>
        <w:t>all</w:t>
      </w:r>
      <w:r w:rsidR="0004255B">
        <w:rPr>
          <w:rFonts w:ascii="Arial" w:hAnsi="Arial" w:cs="Arial"/>
        </w:rPr>
        <w:t xml:space="preserve"> the information contained on the FDLE approved form.  </w:t>
      </w:r>
      <w:r w:rsidR="00321DBB" w:rsidRPr="00321DBB">
        <w:rPr>
          <w:rFonts w:ascii="Arial" w:hAnsi="Arial" w:cs="Arial"/>
        </w:rPr>
        <w:t xml:space="preserve">Dealers may submit requests for review and approval </w:t>
      </w:r>
      <w:r w:rsidR="00BB4EE8">
        <w:rPr>
          <w:rFonts w:ascii="Arial" w:hAnsi="Arial" w:cs="Arial"/>
        </w:rPr>
        <w:t xml:space="preserve">of alternative forms </w:t>
      </w:r>
      <w:r w:rsidR="00321DBB" w:rsidRPr="00321DBB">
        <w:rPr>
          <w:rFonts w:ascii="Arial" w:hAnsi="Arial" w:cs="Arial"/>
        </w:rPr>
        <w:t>to:</w:t>
      </w:r>
    </w:p>
    <w:p w:rsidR="00321DBB" w:rsidRDefault="00321DBB" w:rsidP="00EB483E">
      <w:pPr>
        <w:pStyle w:val="NoSpacing"/>
        <w:jc w:val="both"/>
        <w:rPr>
          <w:rFonts w:ascii="Arial" w:hAnsi="Arial" w:cs="Arial"/>
        </w:rPr>
      </w:pPr>
    </w:p>
    <w:p w:rsidR="00321DBB" w:rsidRDefault="008E2BA5" w:rsidP="00EB483E">
      <w:pPr>
        <w:pStyle w:val="NoSpacing"/>
        <w:jc w:val="center"/>
        <w:rPr>
          <w:rFonts w:ascii="Arial" w:hAnsi="Arial" w:cs="Arial"/>
        </w:rPr>
      </w:pPr>
      <w:hyperlink r:id="rId14" w:history="1">
        <w:r w:rsidR="00321DBB" w:rsidRPr="00C534CE">
          <w:rPr>
            <w:rStyle w:val="Hyperlink"/>
            <w:rFonts w:ascii="Arial" w:hAnsi="Arial" w:cs="Arial"/>
          </w:rPr>
          <w:t>MetalsForms@fdle.state.fl.us</w:t>
        </w:r>
      </w:hyperlink>
    </w:p>
    <w:p w:rsidR="0049256E" w:rsidRDefault="0049256E" w:rsidP="00EB483E">
      <w:pPr>
        <w:pStyle w:val="NoSpacing"/>
        <w:jc w:val="center"/>
        <w:rPr>
          <w:rFonts w:ascii="Arial" w:hAnsi="Arial" w:cs="Arial"/>
        </w:rPr>
      </w:pPr>
    </w:p>
    <w:p w:rsidR="00321DBB" w:rsidRDefault="00321DBB" w:rsidP="00EB483E">
      <w:pPr>
        <w:pStyle w:val="NoSpacing"/>
        <w:jc w:val="center"/>
        <w:rPr>
          <w:rFonts w:ascii="Arial" w:hAnsi="Arial" w:cs="Arial"/>
        </w:rPr>
      </w:pPr>
      <w:proofErr w:type="gramStart"/>
      <w:r>
        <w:rPr>
          <w:rFonts w:ascii="Arial" w:hAnsi="Arial" w:cs="Arial"/>
        </w:rPr>
        <w:t>or</w:t>
      </w:r>
      <w:proofErr w:type="gramEnd"/>
    </w:p>
    <w:p w:rsidR="0049256E" w:rsidRDefault="0049256E" w:rsidP="00EB483E">
      <w:pPr>
        <w:pStyle w:val="NoSpacing"/>
        <w:jc w:val="center"/>
        <w:rPr>
          <w:rFonts w:ascii="Arial" w:hAnsi="Arial" w:cs="Arial"/>
        </w:rPr>
      </w:pPr>
    </w:p>
    <w:p w:rsidR="00321DBB" w:rsidRDefault="00321DBB" w:rsidP="00EB483E">
      <w:pPr>
        <w:pStyle w:val="NoSpacing"/>
        <w:jc w:val="center"/>
        <w:rPr>
          <w:rFonts w:ascii="Arial" w:hAnsi="Arial" w:cs="Arial"/>
        </w:rPr>
      </w:pPr>
      <w:r>
        <w:rPr>
          <w:rFonts w:ascii="Arial" w:hAnsi="Arial" w:cs="Arial"/>
        </w:rPr>
        <w:t>Florida Department of Law Enforcement</w:t>
      </w:r>
    </w:p>
    <w:p w:rsidR="00321DBB" w:rsidRDefault="00321DBB" w:rsidP="00EB483E">
      <w:pPr>
        <w:pStyle w:val="NoSpacing"/>
        <w:jc w:val="center"/>
        <w:rPr>
          <w:rFonts w:ascii="Arial" w:hAnsi="Arial" w:cs="Arial"/>
        </w:rPr>
      </w:pPr>
      <w:r>
        <w:rPr>
          <w:rFonts w:ascii="Arial" w:hAnsi="Arial" w:cs="Arial"/>
        </w:rPr>
        <w:t>Investigations and Forensic Sciences Program</w:t>
      </w:r>
    </w:p>
    <w:p w:rsidR="00321DBB" w:rsidRDefault="00321DBB" w:rsidP="00EB483E">
      <w:pPr>
        <w:pStyle w:val="NoSpacing"/>
        <w:jc w:val="center"/>
        <w:rPr>
          <w:rFonts w:ascii="Arial" w:hAnsi="Arial" w:cs="Arial"/>
        </w:rPr>
      </w:pPr>
      <w:r>
        <w:rPr>
          <w:rFonts w:ascii="Arial" w:hAnsi="Arial" w:cs="Arial"/>
        </w:rPr>
        <w:t>Office of Policy and Planning</w:t>
      </w:r>
    </w:p>
    <w:p w:rsidR="00321DBB" w:rsidRDefault="00321DBB" w:rsidP="00EB483E">
      <w:pPr>
        <w:pStyle w:val="NoSpacing"/>
        <w:jc w:val="center"/>
        <w:rPr>
          <w:rFonts w:ascii="Arial" w:hAnsi="Arial" w:cs="Arial"/>
        </w:rPr>
      </w:pPr>
      <w:r>
        <w:rPr>
          <w:rFonts w:ascii="Arial" w:hAnsi="Arial" w:cs="Arial"/>
        </w:rPr>
        <w:t>P. O. Box 1489</w:t>
      </w:r>
    </w:p>
    <w:p w:rsidR="00321DBB" w:rsidRPr="00321DBB" w:rsidRDefault="00321DBB" w:rsidP="00EB483E">
      <w:pPr>
        <w:pStyle w:val="NoSpacing"/>
        <w:jc w:val="center"/>
        <w:rPr>
          <w:rFonts w:ascii="Arial" w:hAnsi="Arial" w:cs="Arial"/>
        </w:rPr>
      </w:pPr>
      <w:r>
        <w:rPr>
          <w:rFonts w:ascii="Arial" w:hAnsi="Arial" w:cs="Arial"/>
        </w:rPr>
        <w:t>Tallahassee, FL  32302-1489</w:t>
      </w:r>
    </w:p>
    <w:p w:rsidR="00994778" w:rsidRDefault="00994778" w:rsidP="00EB483E">
      <w:pPr>
        <w:pStyle w:val="NoSpacing"/>
        <w:jc w:val="both"/>
        <w:rPr>
          <w:rFonts w:ascii="Arial" w:hAnsi="Arial" w:cs="Arial"/>
        </w:rPr>
      </w:pPr>
    </w:p>
    <w:p w:rsidR="00994778" w:rsidRDefault="00994778" w:rsidP="00EB483E">
      <w:pPr>
        <w:pStyle w:val="NoSpacing"/>
        <w:jc w:val="both"/>
        <w:rPr>
          <w:rFonts w:ascii="Arial" w:hAnsi="Arial" w:cs="Arial"/>
          <w:b/>
        </w:rPr>
      </w:pPr>
      <w:r>
        <w:rPr>
          <w:rFonts w:ascii="Arial" w:hAnsi="Arial" w:cs="Arial"/>
          <w:b/>
        </w:rPr>
        <w:t>I use a software program to keep track of the transactions for my business. Do I still need to use the paper FDLE</w:t>
      </w:r>
      <w:r w:rsidR="003C1CBB">
        <w:rPr>
          <w:rFonts w:ascii="Arial" w:hAnsi="Arial" w:cs="Arial"/>
          <w:b/>
        </w:rPr>
        <w:t xml:space="preserve"> </w:t>
      </w:r>
      <w:r>
        <w:rPr>
          <w:rFonts w:ascii="Arial" w:hAnsi="Arial" w:cs="Arial"/>
          <w:b/>
        </w:rPr>
        <w:t>approved form?</w:t>
      </w:r>
    </w:p>
    <w:p w:rsidR="00994778" w:rsidRDefault="00994778" w:rsidP="00EB483E">
      <w:pPr>
        <w:pStyle w:val="NoSpacing"/>
        <w:jc w:val="both"/>
        <w:rPr>
          <w:rFonts w:ascii="Arial" w:hAnsi="Arial" w:cs="Arial"/>
          <w:b/>
        </w:rPr>
      </w:pPr>
    </w:p>
    <w:p w:rsidR="00994778" w:rsidRDefault="00994778" w:rsidP="00EB483E">
      <w:pPr>
        <w:pStyle w:val="NoSpacing"/>
        <w:ind w:left="720"/>
        <w:jc w:val="both"/>
        <w:rPr>
          <w:rFonts w:ascii="Arial" w:hAnsi="Arial" w:cs="Arial"/>
        </w:rPr>
      </w:pPr>
      <w:r>
        <w:rPr>
          <w:rFonts w:ascii="Arial" w:hAnsi="Arial" w:cs="Arial"/>
        </w:rPr>
        <w:t xml:space="preserve">No. However, the software program must be able to print a version of the transaction form that includes </w:t>
      </w:r>
      <w:r w:rsidRPr="00772E36">
        <w:rPr>
          <w:rFonts w:ascii="Arial" w:hAnsi="Arial" w:cs="Arial"/>
          <w:u w:val="single"/>
        </w:rPr>
        <w:t>all</w:t>
      </w:r>
      <w:r>
        <w:rPr>
          <w:rFonts w:ascii="Arial" w:hAnsi="Arial" w:cs="Arial"/>
        </w:rPr>
        <w:t xml:space="preserve"> the information conta</w:t>
      </w:r>
      <w:r w:rsidR="003C1CBB">
        <w:rPr>
          <w:rFonts w:ascii="Arial" w:hAnsi="Arial" w:cs="Arial"/>
        </w:rPr>
        <w:t xml:space="preserve">ined in the FDLE </w:t>
      </w:r>
      <w:r>
        <w:rPr>
          <w:rFonts w:ascii="Arial" w:hAnsi="Arial" w:cs="Arial"/>
        </w:rPr>
        <w:t>approved form.</w:t>
      </w:r>
      <w:r w:rsidR="00BB4EE8">
        <w:rPr>
          <w:rFonts w:ascii="Arial" w:hAnsi="Arial" w:cs="Arial"/>
        </w:rPr>
        <w:t xml:space="preserve"> The signature and thumbprint must be readable and free of smudges.  Alternate forms </w:t>
      </w:r>
      <w:r w:rsidR="003C1CBB">
        <w:rPr>
          <w:rFonts w:ascii="Arial" w:hAnsi="Arial" w:cs="Arial"/>
        </w:rPr>
        <w:t>may</w:t>
      </w:r>
      <w:r w:rsidR="00BB4EE8">
        <w:rPr>
          <w:rFonts w:ascii="Arial" w:hAnsi="Arial" w:cs="Arial"/>
        </w:rPr>
        <w:t xml:space="preserve"> be submitted to FDLE for review and approval.</w:t>
      </w:r>
    </w:p>
    <w:p w:rsidR="00BB4EE8" w:rsidRDefault="00BB4EE8" w:rsidP="00EB483E">
      <w:pPr>
        <w:pStyle w:val="NoSpacing"/>
        <w:ind w:left="720"/>
        <w:jc w:val="both"/>
        <w:rPr>
          <w:rFonts w:ascii="Arial" w:hAnsi="Arial" w:cs="Arial"/>
        </w:rPr>
      </w:pPr>
    </w:p>
    <w:p w:rsidR="00BB4EE8" w:rsidRDefault="008E2BA5" w:rsidP="00EB483E">
      <w:pPr>
        <w:pStyle w:val="NoSpacing"/>
        <w:jc w:val="center"/>
        <w:rPr>
          <w:rFonts w:ascii="Arial" w:hAnsi="Arial" w:cs="Arial"/>
        </w:rPr>
      </w:pPr>
      <w:hyperlink r:id="rId15" w:history="1">
        <w:r w:rsidR="00BB4EE8" w:rsidRPr="00C534CE">
          <w:rPr>
            <w:rStyle w:val="Hyperlink"/>
            <w:rFonts w:ascii="Arial" w:hAnsi="Arial" w:cs="Arial"/>
          </w:rPr>
          <w:t>MetalsForms@fdle.state.fl.us</w:t>
        </w:r>
      </w:hyperlink>
    </w:p>
    <w:p w:rsidR="00BB4EE8" w:rsidRDefault="00BB4EE8" w:rsidP="00EB483E">
      <w:pPr>
        <w:pStyle w:val="NoSpacing"/>
        <w:jc w:val="center"/>
        <w:rPr>
          <w:rFonts w:ascii="Arial" w:hAnsi="Arial" w:cs="Arial"/>
        </w:rPr>
      </w:pPr>
    </w:p>
    <w:p w:rsidR="00BB4EE8" w:rsidRDefault="00BB4EE8" w:rsidP="00EB483E">
      <w:pPr>
        <w:pStyle w:val="NoSpacing"/>
        <w:jc w:val="center"/>
        <w:rPr>
          <w:rFonts w:ascii="Arial" w:hAnsi="Arial" w:cs="Arial"/>
        </w:rPr>
      </w:pPr>
      <w:proofErr w:type="gramStart"/>
      <w:r>
        <w:rPr>
          <w:rFonts w:ascii="Arial" w:hAnsi="Arial" w:cs="Arial"/>
        </w:rPr>
        <w:t>or</w:t>
      </w:r>
      <w:proofErr w:type="gramEnd"/>
    </w:p>
    <w:p w:rsidR="00BB4EE8" w:rsidRDefault="00BB4EE8" w:rsidP="00EB483E">
      <w:pPr>
        <w:pStyle w:val="NoSpacing"/>
        <w:jc w:val="center"/>
        <w:rPr>
          <w:rFonts w:ascii="Arial" w:hAnsi="Arial" w:cs="Arial"/>
        </w:rPr>
      </w:pPr>
    </w:p>
    <w:p w:rsidR="00BB4EE8" w:rsidRDefault="00BB4EE8" w:rsidP="00EB483E">
      <w:pPr>
        <w:pStyle w:val="NoSpacing"/>
        <w:jc w:val="center"/>
        <w:rPr>
          <w:rFonts w:ascii="Arial" w:hAnsi="Arial" w:cs="Arial"/>
        </w:rPr>
      </w:pPr>
      <w:r>
        <w:rPr>
          <w:rFonts w:ascii="Arial" w:hAnsi="Arial" w:cs="Arial"/>
        </w:rPr>
        <w:t>Florida Department of Law Enforcement</w:t>
      </w:r>
    </w:p>
    <w:p w:rsidR="00BB4EE8" w:rsidRDefault="00BB4EE8" w:rsidP="00EB483E">
      <w:pPr>
        <w:pStyle w:val="NoSpacing"/>
        <w:jc w:val="center"/>
        <w:rPr>
          <w:rFonts w:ascii="Arial" w:hAnsi="Arial" w:cs="Arial"/>
        </w:rPr>
      </w:pPr>
      <w:r>
        <w:rPr>
          <w:rFonts w:ascii="Arial" w:hAnsi="Arial" w:cs="Arial"/>
        </w:rPr>
        <w:t>Investigations and Forensic Sciences Program</w:t>
      </w:r>
    </w:p>
    <w:p w:rsidR="00BB4EE8" w:rsidRDefault="00BB4EE8" w:rsidP="00EB483E">
      <w:pPr>
        <w:pStyle w:val="NoSpacing"/>
        <w:jc w:val="center"/>
        <w:rPr>
          <w:rFonts w:ascii="Arial" w:hAnsi="Arial" w:cs="Arial"/>
        </w:rPr>
      </w:pPr>
      <w:r>
        <w:rPr>
          <w:rFonts w:ascii="Arial" w:hAnsi="Arial" w:cs="Arial"/>
        </w:rPr>
        <w:t>Office of Policy and Planning</w:t>
      </w:r>
    </w:p>
    <w:p w:rsidR="00BB4EE8" w:rsidRDefault="00BB4EE8" w:rsidP="00EB483E">
      <w:pPr>
        <w:pStyle w:val="NoSpacing"/>
        <w:jc w:val="center"/>
        <w:rPr>
          <w:rFonts w:ascii="Arial" w:hAnsi="Arial" w:cs="Arial"/>
        </w:rPr>
      </w:pPr>
      <w:r>
        <w:rPr>
          <w:rFonts w:ascii="Arial" w:hAnsi="Arial" w:cs="Arial"/>
        </w:rPr>
        <w:t>P. O. Box 1489</w:t>
      </w:r>
    </w:p>
    <w:p w:rsidR="00BB4EE8" w:rsidRPr="00321DBB" w:rsidRDefault="00BB4EE8" w:rsidP="00EB483E">
      <w:pPr>
        <w:pStyle w:val="NoSpacing"/>
        <w:jc w:val="center"/>
        <w:rPr>
          <w:rFonts w:ascii="Arial" w:hAnsi="Arial" w:cs="Arial"/>
        </w:rPr>
      </w:pPr>
      <w:r>
        <w:rPr>
          <w:rFonts w:ascii="Arial" w:hAnsi="Arial" w:cs="Arial"/>
        </w:rPr>
        <w:t>Tallahassee, FL  32302-1489</w:t>
      </w:r>
    </w:p>
    <w:p w:rsidR="00BB4EE8" w:rsidRDefault="00BB4EE8" w:rsidP="00EB483E">
      <w:pPr>
        <w:pStyle w:val="NoSpacing"/>
        <w:ind w:left="720"/>
        <w:jc w:val="both"/>
        <w:rPr>
          <w:rFonts w:ascii="Arial" w:hAnsi="Arial" w:cs="Arial"/>
        </w:rPr>
      </w:pPr>
    </w:p>
    <w:p w:rsidR="00BB4EE8" w:rsidRPr="006B61A1" w:rsidRDefault="00BB4EE8" w:rsidP="00EB483E">
      <w:pPr>
        <w:pStyle w:val="NoSpacing"/>
        <w:jc w:val="both"/>
        <w:rPr>
          <w:rFonts w:ascii="Arial" w:hAnsi="Arial" w:cs="Arial"/>
          <w:b/>
        </w:rPr>
      </w:pPr>
      <w:r w:rsidRPr="006B61A1">
        <w:rPr>
          <w:rFonts w:ascii="Arial" w:hAnsi="Arial" w:cs="Arial"/>
          <w:b/>
        </w:rPr>
        <w:t>My local law enforcement agency</w:t>
      </w:r>
      <w:r w:rsidR="003C1CBB">
        <w:rPr>
          <w:rFonts w:ascii="Arial" w:hAnsi="Arial" w:cs="Arial"/>
          <w:b/>
        </w:rPr>
        <w:t xml:space="preserve"> says the form I am using is not good enough</w:t>
      </w:r>
      <w:r w:rsidRPr="006B61A1">
        <w:rPr>
          <w:rFonts w:ascii="Arial" w:hAnsi="Arial" w:cs="Arial"/>
          <w:b/>
        </w:rPr>
        <w:t xml:space="preserve">.  Will FDLE </w:t>
      </w:r>
      <w:r>
        <w:rPr>
          <w:rFonts w:ascii="Arial" w:hAnsi="Arial" w:cs="Arial"/>
          <w:b/>
        </w:rPr>
        <w:t>settle this disagreement</w:t>
      </w:r>
      <w:r w:rsidRPr="006B61A1">
        <w:rPr>
          <w:rFonts w:ascii="Arial" w:hAnsi="Arial" w:cs="Arial"/>
          <w:b/>
        </w:rPr>
        <w:t>?</w:t>
      </w:r>
    </w:p>
    <w:p w:rsidR="00BB4EE8" w:rsidRDefault="00BB4EE8" w:rsidP="00EB483E">
      <w:pPr>
        <w:pStyle w:val="NoSpacing"/>
        <w:jc w:val="both"/>
        <w:rPr>
          <w:rFonts w:ascii="Arial" w:hAnsi="Arial" w:cs="Arial"/>
        </w:rPr>
      </w:pPr>
    </w:p>
    <w:p w:rsidR="00BB4EE8" w:rsidRDefault="00BB4EE8" w:rsidP="00EB483E">
      <w:pPr>
        <w:pStyle w:val="NoSpacing"/>
        <w:ind w:left="720"/>
        <w:jc w:val="both"/>
        <w:rPr>
          <w:rFonts w:ascii="Arial" w:hAnsi="Arial" w:cs="Arial"/>
        </w:rPr>
      </w:pPr>
      <w:r>
        <w:rPr>
          <w:rFonts w:ascii="Arial" w:hAnsi="Arial" w:cs="Arial"/>
        </w:rPr>
        <w:t>If there is a disagreement between a dealer and local law enforcement about the sufficiency of a form, the dealer may submit the form to FDLE for review.  FDLE will provide the dealer with a written response as to the approval or disapproval of the electronic form</w:t>
      </w:r>
      <w:r w:rsidR="00ED13A1">
        <w:rPr>
          <w:rFonts w:ascii="Arial" w:hAnsi="Arial" w:cs="Arial"/>
        </w:rPr>
        <w:t xml:space="preserve"> based on whether the form meets the statu</w:t>
      </w:r>
      <w:r w:rsidR="00986BC9">
        <w:rPr>
          <w:rFonts w:ascii="Arial" w:hAnsi="Arial" w:cs="Arial"/>
        </w:rPr>
        <w:t>tory requirements of Section 538</w:t>
      </w:r>
      <w:r w:rsidR="00ED13A1">
        <w:rPr>
          <w:rFonts w:ascii="Arial" w:hAnsi="Arial" w:cs="Arial"/>
        </w:rPr>
        <w:t>.19</w:t>
      </w:r>
      <w:r w:rsidR="00EB483E">
        <w:rPr>
          <w:rFonts w:ascii="Arial" w:hAnsi="Arial" w:cs="Arial"/>
        </w:rPr>
        <w:t>, Florida Statutes</w:t>
      </w:r>
      <w:r w:rsidR="00ED13A1">
        <w:rPr>
          <w:rFonts w:ascii="Arial" w:hAnsi="Arial" w:cs="Arial"/>
        </w:rPr>
        <w:t>.</w:t>
      </w:r>
    </w:p>
    <w:p w:rsidR="00994778" w:rsidRDefault="00994778" w:rsidP="00EB483E">
      <w:pPr>
        <w:pStyle w:val="NoSpacing"/>
        <w:jc w:val="both"/>
        <w:rPr>
          <w:rFonts w:ascii="Arial" w:hAnsi="Arial" w:cs="Arial"/>
        </w:rPr>
      </w:pPr>
    </w:p>
    <w:p w:rsidR="0049256E" w:rsidRPr="005D5512" w:rsidRDefault="0049256E" w:rsidP="00EB483E">
      <w:pPr>
        <w:pStyle w:val="NoSpacing"/>
        <w:jc w:val="both"/>
        <w:rPr>
          <w:rFonts w:ascii="Arial" w:hAnsi="Arial" w:cs="Arial"/>
          <w:b/>
        </w:rPr>
      </w:pPr>
      <w:r w:rsidRPr="005D5512">
        <w:rPr>
          <w:rFonts w:ascii="Arial" w:hAnsi="Arial" w:cs="Arial"/>
          <w:b/>
        </w:rPr>
        <w:t>What are the electr</w:t>
      </w:r>
      <w:r w:rsidR="005D5512">
        <w:rPr>
          <w:rFonts w:ascii="Arial" w:hAnsi="Arial" w:cs="Arial"/>
          <w:b/>
        </w:rPr>
        <w:t xml:space="preserve">onic record format requirements </w:t>
      </w:r>
      <w:r w:rsidRPr="005D5512">
        <w:rPr>
          <w:rFonts w:ascii="Arial" w:hAnsi="Arial" w:cs="Arial"/>
          <w:b/>
        </w:rPr>
        <w:t>effective July 1, 2012?</w:t>
      </w:r>
    </w:p>
    <w:p w:rsidR="0049256E" w:rsidRDefault="0049256E" w:rsidP="00EB483E">
      <w:pPr>
        <w:pStyle w:val="NoSpacing"/>
        <w:jc w:val="both"/>
        <w:rPr>
          <w:rFonts w:ascii="Arial" w:hAnsi="Arial" w:cs="Arial"/>
        </w:rPr>
      </w:pPr>
    </w:p>
    <w:p w:rsidR="009C699E" w:rsidRDefault="009C699E" w:rsidP="00EB483E">
      <w:pPr>
        <w:pStyle w:val="NoSpacing"/>
        <w:ind w:left="720"/>
        <w:jc w:val="both"/>
        <w:rPr>
          <w:rFonts w:ascii="Arial" w:hAnsi="Arial" w:cs="Arial"/>
        </w:rPr>
      </w:pPr>
      <w:r>
        <w:rPr>
          <w:rFonts w:ascii="Arial" w:hAnsi="Arial" w:cs="Arial"/>
        </w:rPr>
        <w:t>FDLE</w:t>
      </w:r>
      <w:r w:rsidR="0049256E">
        <w:rPr>
          <w:rFonts w:ascii="Arial" w:hAnsi="Arial" w:cs="Arial"/>
        </w:rPr>
        <w:t xml:space="preserve"> </w:t>
      </w:r>
      <w:r w:rsidR="006A4F7E">
        <w:rPr>
          <w:rFonts w:ascii="Arial" w:hAnsi="Arial" w:cs="Arial"/>
        </w:rPr>
        <w:t>has posted a table of the data elements that are required to be electronically collected, submitted and stored</w:t>
      </w:r>
      <w:r w:rsidR="0004255B">
        <w:rPr>
          <w:rFonts w:ascii="Arial" w:hAnsi="Arial" w:cs="Arial"/>
        </w:rPr>
        <w:t xml:space="preserve"> </w:t>
      </w:r>
      <w:hyperlink r:id="rId16" w:history="1">
        <w:r w:rsidR="0004255B" w:rsidRPr="00FC1831">
          <w:rPr>
            <w:rStyle w:val="Hyperlink"/>
            <w:rFonts w:ascii="Arial" w:hAnsi="Arial" w:cs="Arial"/>
          </w:rPr>
          <w:t>(link</w:t>
        </w:r>
        <w:r w:rsidR="00FC1831" w:rsidRPr="00FC1831">
          <w:rPr>
            <w:rStyle w:val="Hyperlink"/>
            <w:rFonts w:ascii="Arial" w:hAnsi="Arial" w:cs="Arial"/>
          </w:rPr>
          <w:t xml:space="preserve"> here</w:t>
        </w:r>
        <w:r w:rsidR="0004255B" w:rsidRPr="00FC1831">
          <w:rPr>
            <w:rStyle w:val="Hyperlink"/>
            <w:rFonts w:ascii="Arial" w:hAnsi="Arial" w:cs="Arial"/>
          </w:rPr>
          <w:t>)</w:t>
        </w:r>
      </w:hyperlink>
      <w:r w:rsidR="006A4F7E">
        <w:rPr>
          <w:rFonts w:ascii="Arial" w:hAnsi="Arial" w:cs="Arial"/>
        </w:rPr>
        <w:t xml:space="preserve">.  </w:t>
      </w:r>
      <w:r>
        <w:rPr>
          <w:rFonts w:ascii="Arial" w:hAnsi="Arial" w:cs="Arial"/>
        </w:rPr>
        <w:t>These data elements meet the minimum statutory requirements</w:t>
      </w:r>
      <w:r w:rsidR="0004255B">
        <w:rPr>
          <w:rFonts w:ascii="Arial" w:hAnsi="Arial" w:cs="Arial"/>
        </w:rPr>
        <w:t>.</w:t>
      </w:r>
      <w:r w:rsidR="00E22B28">
        <w:rPr>
          <w:rFonts w:ascii="Arial" w:hAnsi="Arial" w:cs="Arial"/>
        </w:rPr>
        <w:t xml:space="preserve"> </w:t>
      </w:r>
      <w:r w:rsidR="0004255B">
        <w:rPr>
          <w:rFonts w:ascii="Arial" w:hAnsi="Arial" w:cs="Arial"/>
        </w:rPr>
        <w:t>A</w:t>
      </w:r>
      <w:r>
        <w:rPr>
          <w:rFonts w:ascii="Arial" w:hAnsi="Arial" w:cs="Arial"/>
        </w:rPr>
        <w:t xml:space="preserve">ny electronic records specifications must meet or exceed these </w:t>
      </w:r>
      <w:r>
        <w:rPr>
          <w:rFonts w:ascii="Arial" w:hAnsi="Arial" w:cs="Arial"/>
        </w:rPr>
        <w:lastRenderedPageBreak/>
        <w:t xml:space="preserve">requirements.  If your electronic version meets or exceeds the </w:t>
      </w:r>
      <w:r w:rsidR="0004255B">
        <w:rPr>
          <w:rFonts w:ascii="Arial" w:hAnsi="Arial" w:cs="Arial"/>
        </w:rPr>
        <w:t xml:space="preserve">data elements in the </w:t>
      </w:r>
      <w:r>
        <w:rPr>
          <w:rFonts w:ascii="Arial" w:hAnsi="Arial" w:cs="Arial"/>
        </w:rPr>
        <w:t>table</w:t>
      </w:r>
      <w:r w:rsidR="00986BC9">
        <w:rPr>
          <w:rFonts w:ascii="Arial" w:hAnsi="Arial" w:cs="Arial"/>
        </w:rPr>
        <w:t xml:space="preserve"> provided, it is approved by FDL</w:t>
      </w:r>
      <w:r>
        <w:rPr>
          <w:rFonts w:ascii="Arial" w:hAnsi="Arial" w:cs="Arial"/>
        </w:rPr>
        <w:t>E.</w:t>
      </w:r>
    </w:p>
    <w:p w:rsidR="004B36EC" w:rsidRDefault="004B36EC" w:rsidP="00EB483E">
      <w:pPr>
        <w:pStyle w:val="NoSpacing"/>
        <w:ind w:left="720"/>
        <w:jc w:val="both"/>
        <w:rPr>
          <w:rFonts w:ascii="Arial" w:hAnsi="Arial" w:cs="Arial"/>
        </w:rPr>
      </w:pPr>
    </w:p>
    <w:p w:rsidR="004B36EC" w:rsidRDefault="004B36EC" w:rsidP="00EB483E">
      <w:pPr>
        <w:pStyle w:val="NoSpacing"/>
        <w:jc w:val="both"/>
        <w:rPr>
          <w:rFonts w:ascii="Arial" w:hAnsi="Arial" w:cs="Arial"/>
          <w:b/>
        </w:rPr>
      </w:pPr>
      <w:r w:rsidRPr="001570AE">
        <w:rPr>
          <w:rFonts w:ascii="Arial" w:hAnsi="Arial" w:cs="Arial"/>
          <w:b/>
        </w:rPr>
        <w:t xml:space="preserve">What are the “Restricted Regulated Metals” that </w:t>
      </w:r>
      <w:r w:rsidR="00FE06D8">
        <w:rPr>
          <w:rFonts w:ascii="Arial" w:hAnsi="Arial" w:cs="Arial"/>
          <w:b/>
        </w:rPr>
        <w:t>require me to obtain reasonable proof of ownership or authorization to sell?</w:t>
      </w:r>
    </w:p>
    <w:p w:rsidR="00986BC9" w:rsidRDefault="00986BC9" w:rsidP="00EB483E">
      <w:pPr>
        <w:pStyle w:val="NoSpacing"/>
        <w:ind w:left="720"/>
        <w:jc w:val="both"/>
        <w:rPr>
          <w:rFonts w:ascii="Arial" w:hAnsi="Arial" w:cs="Arial"/>
        </w:rPr>
      </w:pPr>
    </w:p>
    <w:p w:rsidR="00986BC9" w:rsidRDefault="00986BC9" w:rsidP="00EB483E">
      <w:pPr>
        <w:pStyle w:val="NoSpacing"/>
        <w:ind w:left="720"/>
        <w:jc w:val="both"/>
        <w:rPr>
          <w:rFonts w:ascii="Arial" w:hAnsi="Arial" w:cs="Arial"/>
        </w:rPr>
      </w:pPr>
      <w:r>
        <w:rPr>
          <w:rFonts w:ascii="Arial" w:hAnsi="Arial" w:cs="Arial"/>
        </w:rPr>
        <w:t xml:space="preserve">Effective July 1, 2012, </w:t>
      </w:r>
      <w:r w:rsidR="00146C25">
        <w:rPr>
          <w:rFonts w:ascii="Arial" w:hAnsi="Arial" w:cs="Arial"/>
        </w:rPr>
        <w:t>Section 538.26 (5</w:t>
      </w:r>
      <w:proofErr w:type="gramStart"/>
      <w:r w:rsidR="00146C25">
        <w:rPr>
          <w:rFonts w:ascii="Arial" w:hAnsi="Arial" w:cs="Arial"/>
        </w:rPr>
        <w:t>)(</w:t>
      </w:r>
      <w:proofErr w:type="gramEnd"/>
      <w:r w:rsidR="00146C25">
        <w:rPr>
          <w:rFonts w:ascii="Arial" w:hAnsi="Arial" w:cs="Arial"/>
        </w:rPr>
        <w:t xml:space="preserve">b), Florida Statutes, identifies </w:t>
      </w:r>
      <w:r>
        <w:rPr>
          <w:rFonts w:ascii="Arial" w:hAnsi="Arial" w:cs="Arial"/>
        </w:rPr>
        <w:t>twenty types of items</w:t>
      </w:r>
      <w:r w:rsidR="00146C25">
        <w:rPr>
          <w:rFonts w:ascii="Arial" w:hAnsi="Arial" w:cs="Arial"/>
        </w:rPr>
        <w:t xml:space="preserve"> as</w:t>
      </w:r>
      <w:r>
        <w:rPr>
          <w:rFonts w:ascii="Arial" w:hAnsi="Arial" w:cs="Arial"/>
        </w:rPr>
        <w:t xml:space="preserve"> “restricted regulate</w:t>
      </w:r>
      <w:r w:rsidR="00146C25">
        <w:rPr>
          <w:rFonts w:ascii="Arial" w:hAnsi="Arial" w:cs="Arial"/>
        </w:rPr>
        <w:t>d metals”</w:t>
      </w:r>
      <w:r>
        <w:rPr>
          <w:rFonts w:ascii="Arial" w:hAnsi="Arial" w:cs="Arial"/>
        </w:rPr>
        <w:t xml:space="preserve">. </w:t>
      </w:r>
      <w:r w:rsidR="00146C25">
        <w:rPr>
          <w:rFonts w:ascii="Arial" w:hAnsi="Arial" w:cs="Arial"/>
        </w:rPr>
        <w:t>T</w:t>
      </w:r>
      <w:r>
        <w:rPr>
          <w:rFonts w:ascii="Arial" w:hAnsi="Arial" w:cs="Arial"/>
        </w:rPr>
        <w:t xml:space="preserve">he following regulated metals </w:t>
      </w:r>
      <w:r w:rsidR="00146C25">
        <w:rPr>
          <w:rFonts w:ascii="Arial" w:hAnsi="Arial" w:cs="Arial"/>
        </w:rPr>
        <w:t xml:space="preserve">are designated </w:t>
      </w:r>
      <w:r>
        <w:rPr>
          <w:rFonts w:ascii="Arial" w:hAnsi="Arial" w:cs="Arial"/>
        </w:rPr>
        <w:t>as restricted:</w:t>
      </w:r>
    </w:p>
    <w:p w:rsidR="00146C25" w:rsidRDefault="00146C25" w:rsidP="00EB483E">
      <w:pPr>
        <w:pStyle w:val="NoSpacing"/>
        <w:ind w:left="720"/>
        <w:jc w:val="both"/>
        <w:rPr>
          <w:rFonts w:ascii="Arial" w:hAnsi="Arial" w:cs="Arial"/>
        </w:rPr>
      </w:pPr>
    </w:p>
    <w:p w:rsidR="00986BC9" w:rsidRDefault="00986BC9" w:rsidP="00EB483E">
      <w:pPr>
        <w:pStyle w:val="NoSpacing"/>
        <w:numPr>
          <w:ilvl w:val="0"/>
          <w:numId w:val="5"/>
        </w:numPr>
        <w:ind w:left="1440"/>
        <w:jc w:val="both"/>
        <w:rPr>
          <w:rFonts w:ascii="Arial" w:hAnsi="Arial" w:cs="Arial"/>
        </w:rPr>
      </w:pPr>
      <w:r>
        <w:rPr>
          <w:rFonts w:ascii="Arial" w:hAnsi="Arial" w:cs="Arial"/>
        </w:rPr>
        <w:t>A manhole cover</w:t>
      </w:r>
    </w:p>
    <w:p w:rsidR="00986BC9" w:rsidRDefault="00986BC9" w:rsidP="00EB483E">
      <w:pPr>
        <w:pStyle w:val="NoSpacing"/>
        <w:numPr>
          <w:ilvl w:val="0"/>
          <w:numId w:val="5"/>
        </w:numPr>
        <w:ind w:left="1440"/>
        <w:jc w:val="both"/>
        <w:rPr>
          <w:rFonts w:ascii="Arial" w:hAnsi="Arial" w:cs="Arial"/>
        </w:rPr>
      </w:pPr>
      <w:r>
        <w:rPr>
          <w:rFonts w:ascii="Arial" w:hAnsi="Arial" w:cs="Arial"/>
        </w:rPr>
        <w:t>An electric light pole or other utility structure and its fixtures, wires, and hardware that are readily identifiable as connected to the utility structure</w:t>
      </w:r>
    </w:p>
    <w:p w:rsidR="00986BC9" w:rsidRDefault="00986BC9" w:rsidP="00EB483E">
      <w:pPr>
        <w:pStyle w:val="NoSpacing"/>
        <w:numPr>
          <w:ilvl w:val="0"/>
          <w:numId w:val="5"/>
        </w:numPr>
        <w:ind w:left="1440"/>
        <w:jc w:val="both"/>
        <w:rPr>
          <w:rFonts w:ascii="Arial" w:hAnsi="Arial" w:cs="Arial"/>
        </w:rPr>
      </w:pPr>
      <w:r>
        <w:rPr>
          <w:rFonts w:ascii="Arial" w:hAnsi="Arial" w:cs="Arial"/>
        </w:rPr>
        <w:t>A guard rail</w:t>
      </w:r>
    </w:p>
    <w:p w:rsidR="00986BC9" w:rsidRDefault="00986BC9" w:rsidP="00EB483E">
      <w:pPr>
        <w:pStyle w:val="NoSpacing"/>
        <w:numPr>
          <w:ilvl w:val="0"/>
          <w:numId w:val="5"/>
        </w:numPr>
        <w:ind w:left="1440"/>
        <w:jc w:val="both"/>
        <w:rPr>
          <w:rFonts w:ascii="Arial" w:hAnsi="Arial" w:cs="Arial"/>
        </w:rPr>
      </w:pPr>
      <w:r>
        <w:rPr>
          <w:rFonts w:ascii="Arial" w:hAnsi="Arial" w:cs="Arial"/>
        </w:rPr>
        <w:t>A street sign, traffic sign, or traffic signal and its fixtures and hardware</w:t>
      </w:r>
    </w:p>
    <w:p w:rsidR="00986BC9" w:rsidRDefault="00986BC9" w:rsidP="00EB483E">
      <w:pPr>
        <w:pStyle w:val="NoSpacing"/>
        <w:numPr>
          <w:ilvl w:val="0"/>
          <w:numId w:val="5"/>
        </w:numPr>
        <w:ind w:left="1440"/>
        <w:jc w:val="both"/>
        <w:rPr>
          <w:rFonts w:ascii="Arial" w:hAnsi="Arial" w:cs="Arial"/>
        </w:rPr>
      </w:pPr>
      <w:r>
        <w:rPr>
          <w:rFonts w:ascii="Arial" w:hAnsi="Arial" w:cs="Arial"/>
        </w:rPr>
        <w:t>Communication, transmission, distribution, and service wire from a utility, including copper or aluminum bus bars, connectors, grounding plates, or grounding wire</w:t>
      </w:r>
    </w:p>
    <w:p w:rsidR="00986BC9" w:rsidRDefault="00986BC9" w:rsidP="00EB483E">
      <w:pPr>
        <w:pStyle w:val="NoSpacing"/>
        <w:numPr>
          <w:ilvl w:val="0"/>
          <w:numId w:val="5"/>
        </w:numPr>
        <w:ind w:left="1440"/>
        <w:jc w:val="both"/>
        <w:rPr>
          <w:rFonts w:ascii="Arial" w:hAnsi="Arial" w:cs="Arial"/>
        </w:rPr>
      </w:pPr>
      <w:r>
        <w:rPr>
          <w:rFonts w:ascii="Arial" w:hAnsi="Arial" w:cs="Arial"/>
        </w:rPr>
        <w:t>A funeral marker or funeral vase</w:t>
      </w:r>
    </w:p>
    <w:p w:rsidR="00986BC9" w:rsidRDefault="00986BC9" w:rsidP="00EB483E">
      <w:pPr>
        <w:pStyle w:val="NoSpacing"/>
        <w:numPr>
          <w:ilvl w:val="0"/>
          <w:numId w:val="5"/>
        </w:numPr>
        <w:ind w:left="1440"/>
        <w:jc w:val="both"/>
        <w:rPr>
          <w:rFonts w:ascii="Arial" w:hAnsi="Arial" w:cs="Arial"/>
        </w:rPr>
      </w:pPr>
      <w:r>
        <w:rPr>
          <w:rFonts w:ascii="Arial" w:hAnsi="Arial" w:cs="Arial"/>
        </w:rPr>
        <w:t>Railroad equipment, including, but not limited to, a tie plate, signal house, control box, switch plate, E clip, or rail tie junction</w:t>
      </w:r>
    </w:p>
    <w:p w:rsidR="00986BC9" w:rsidRDefault="00986BC9" w:rsidP="00EB483E">
      <w:pPr>
        <w:pStyle w:val="NoSpacing"/>
        <w:numPr>
          <w:ilvl w:val="0"/>
          <w:numId w:val="5"/>
        </w:numPr>
        <w:ind w:left="1440"/>
        <w:jc w:val="both"/>
        <w:rPr>
          <w:rFonts w:ascii="Arial" w:hAnsi="Arial" w:cs="Arial"/>
        </w:rPr>
      </w:pPr>
      <w:r>
        <w:rPr>
          <w:rFonts w:ascii="Arial" w:hAnsi="Arial" w:cs="Arial"/>
        </w:rPr>
        <w:t>Any metal item that is observably marked upon reasonable inspection with any form of the name, initials, or logo of a governmental entity, utility company, cemetery, or railroad</w:t>
      </w:r>
    </w:p>
    <w:p w:rsidR="00986BC9" w:rsidRDefault="00986BC9" w:rsidP="00EB483E">
      <w:pPr>
        <w:pStyle w:val="NoSpacing"/>
        <w:numPr>
          <w:ilvl w:val="0"/>
          <w:numId w:val="5"/>
        </w:numPr>
        <w:ind w:left="1440"/>
        <w:jc w:val="both"/>
        <w:rPr>
          <w:rFonts w:ascii="Arial" w:hAnsi="Arial" w:cs="Arial"/>
        </w:rPr>
      </w:pPr>
      <w:r>
        <w:rPr>
          <w:rFonts w:ascii="Arial" w:hAnsi="Arial" w:cs="Arial"/>
        </w:rPr>
        <w:t xml:space="preserve">A copper, aluminum, or aluminum-copper condensing </w:t>
      </w:r>
      <w:r w:rsidR="00EB483E">
        <w:rPr>
          <w:rFonts w:ascii="Arial" w:hAnsi="Arial" w:cs="Arial"/>
        </w:rPr>
        <w:t>o</w:t>
      </w:r>
      <w:r>
        <w:rPr>
          <w:rFonts w:ascii="Arial" w:hAnsi="Arial" w:cs="Arial"/>
        </w:rPr>
        <w:t>r evaporator coil, including its tubing or rods, from an air conditioning or heating unit, excluding coils from window air-conditioning or heating units and motor vehicle air-conditioning or heating units</w:t>
      </w:r>
    </w:p>
    <w:p w:rsidR="00986BC9" w:rsidRDefault="00986BC9" w:rsidP="00EB483E">
      <w:pPr>
        <w:pStyle w:val="NoSpacing"/>
        <w:numPr>
          <w:ilvl w:val="0"/>
          <w:numId w:val="5"/>
        </w:numPr>
        <w:ind w:left="1440"/>
        <w:jc w:val="both"/>
        <w:rPr>
          <w:rFonts w:ascii="Arial" w:hAnsi="Arial" w:cs="Arial"/>
        </w:rPr>
      </w:pPr>
      <w:r>
        <w:rPr>
          <w:rFonts w:ascii="Arial" w:hAnsi="Arial" w:cs="Arial"/>
        </w:rPr>
        <w:t>An aluminum or stainless steel container or bottle designed to hold propane for fueling forklifts</w:t>
      </w:r>
    </w:p>
    <w:p w:rsidR="00986BC9" w:rsidRDefault="00986BC9" w:rsidP="00EB483E">
      <w:pPr>
        <w:pStyle w:val="NoSpacing"/>
        <w:numPr>
          <w:ilvl w:val="0"/>
          <w:numId w:val="5"/>
        </w:numPr>
        <w:ind w:left="1440"/>
        <w:jc w:val="both"/>
        <w:rPr>
          <w:rFonts w:ascii="Arial" w:hAnsi="Arial" w:cs="Arial"/>
        </w:rPr>
      </w:pPr>
      <w:r>
        <w:rPr>
          <w:rFonts w:ascii="Arial" w:hAnsi="Arial" w:cs="Arial"/>
        </w:rPr>
        <w:t>A stainless steel beer keg</w:t>
      </w:r>
    </w:p>
    <w:p w:rsidR="00986BC9" w:rsidRDefault="00986BC9" w:rsidP="00EB483E">
      <w:pPr>
        <w:pStyle w:val="NoSpacing"/>
        <w:numPr>
          <w:ilvl w:val="0"/>
          <w:numId w:val="5"/>
        </w:numPr>
        <w:ind w:left="1440"/>
        <w:jc w:val="both"/>
        <w:rPr>
          <w:rFonts w:ascii="Arial" w:hAnsi="Arial" w:cs="Arial"/>
        </w:rPr>
      </w:pPr>
      <w:r>
        <w:rPr>
          <w:rFonts w:ascii="Arial" w:hAnsi="Arial" w:cs="Arial"/>
        </w:rPr>
        <w:t>A catalytic converter or any nonferrous part of a catalytic converter unless purchased as part of a motor vehicle</w:t>
      </w:r>
    </w:p>
    <w:p w:rsidR="00986BC9" w:rsidRDefault="00986BC9" w:rsidP="00EB483E">
      <w:pPr>
        <w:pStyle w:val="NoSpacing"/>
        <w:numPr>
          <w:ilvl w:val="0"/>
          <w:numId w:val="5"/>
        </w:numPr>
        <w:ind w:left="1440"/>
        <w:jc w:val="both"/>
        <w:rPr>
          <w:rFonts w:ascii="Arial" w:hAnsi="Arial" w:cs="Arial"/>
        </w:rPr>
      </w:pPr>
      <w:r>
        <w:rPr>
          <w:rFonts w:ascii="Arial" w:hAnsi="Arial" w:cs="Arial"/>
        </w:rPr>
        <w:t>Metallic wire that has been burned in whole or in part to remove insulation</w:t>
      </w:r>
    </w:p>
    <w:p w:rsidR="00986BC9" w:rsidRDefault="00986BC9" w:rsidP="00EB483E">
      <w:pPr>
        <w:pStyle w:val="NoSpacing"/>
        <w:numPr>
          <w:ilvl w:val="0"/>
          <w:numId w:val="5"/>
        </w:numPr>
        <w:ind w:left="1440"/>
        <w:jc w:val="both"/>
        <w:rPr>
          <w:rFonts w:ascii="Arial" w:hAnsi="Arial" w:cs="Arial"/>
        </w:rPr>
      </w:pPr>
      <w:r>
        <w:rPr>
          <w:rFonts w:ascii="Arial" w:hAnsi="Arial" w:cs="Arial"/>
        </w:rPr>
        <w:t>A brass or bronze commercial valve or fitting, referred to as a “fire department connection and control valve” or an “FDC valve,” that is commonly used on structures for access to water for the purpose of extinguishing fires</w:t>
      </w:r>
    </w:p>
    <w:p w:rsidR="00986BC9" w:rsidRDefault="00986BC9" w:rsidP="00EB483E">
      <w:pPr>
        <w:pStyle w:val="NoSpacing"/>
        <w:numPr>
          <w:ilvl w:val="0"/>
          <w:numId w:val="5"/>
        </w:numPr>
        <w:ind w:left="1440"/>
        <w:jc w:val="both"/>
        <w:rPr>
          <w:rFonts w:ascii="Arial" w:hAnsi="Arial" w:cs="Arial"/>
        </w:rPr>
      </w:pPr>
      <w:r>
        <w:rPr>
          <w:rFonts w:ascii="Arial" w:hAnsi="Arial" w:cs="Arial"/>
        </w:rPr>
        <w:t>A brass or bronze commercial potable water backflow preventer valve that is commonly used to prevent backflow of potable water from commercial structures into municipal domestic water service systems</w:t>
      </w:r>
    </w:p>
    <w:p w:rsidR="00986BC9" w:rsidRDefault="00986BC9" w:rsidP="00EB483E">
      <w:pPr>
        <w:pStyle w:val="NoSpacing"/>
        <w:numPr>
          <w:ilvl w:val="0"/>
          <w:numId w:val="5"/>
        </w:numPr>
        <w:ind w:left="1440"/>
        <w:jc w:val="both"/>
        <w:rPr>
          <w:rFonts w:ascii="Arial" w:hAnsi="Arial" w:cs="Arial"/>
        </w:rPr>
      </w:pPr>
      <w:r>
        <w:rPr>
          <w:rFonts w:ascii="Arial" w:hAnsi="Arial" w:cs="Arial"/>
        </w:rPr>
        <w:t>A shopping cart</w:t>
      </w:r>
    </w:p>
    <w:p w:rsidR="00986BC9" w:rsidRDefault="00986BC9" w:rsidP="00EB483E">
      <w:pPr>
        <w:pStyle w:val="NoSpacing"/>
        <w:numPr>
          <w:ilvl w:val="0"/>
          <w:numId w:val="5"/>
        </w:numPr>
        <w:ind w:left="1440"/>
        <w:jc w:val="both"/>
        <w:rPr>
          <w:rFonts w:ascii="Arial" w:hAnsi="Arial" w:cs="Arial"/>
        </w:rPr>
      </w:pPr>
      <w:r>
        <w:rPr>
          <w:rFonts w:ascii="Arial" w:hAnsi="Arial" w:cs="Arial"/>
        </w:rPr>
        <w:t>A brass water meter</w:t>
      </w:r>
    </w:p>
    <w:p w:rsidR="00986BC9" w:rsidRDefault="00986BC9" w:rsidP="00EB483E">
      <w:pPr>
        <w:pStyle w:val="NoSpacing"/>
        <w:numPr>
          <w:ilvl w:val="0"/>
          <w:numId w:val="5"/>
        </w:numPr>
        <w:ind w:left="1440"/>
        <w:jc w:val="both"/>
        <w:rPr>
          <w:rFonts w:ascii="Arial" w:hAnsi="Arial" w:cs="Arial"/>
        </w:rPr>
      </w:pPr>
      <w:r>
        <w:rPr>
          <w:rFonts w:ascii="Arial" w:hAnsi="Arial" w:cs="Arial"/>
        </w:rPr>
        <w:t>A storm grate</w:t>
      </w:r>
    </w:p>
    <w:p w:rsidR="00986BC9" w:rsidRDefault="00986BC9" w:rsidP="00EB483E">
      <w:pPr>
        <w:pStyle w:val="NoSpacing"/>
        <w:numPr>
          <w:ilvl w:val="0"/>
          <w:numId w:val="5"/>
        </w:numPr>
        <w:ind w:left="1440"/>
        <w:jc w:val="both"/>
        <w:rPr>
          <w:rFonts w:ascii="Arial" w:hAnsi="Arial" w:cs="Arial"/>
        </w:rPr>
      </w:pPr>
      <w:r>
        <w:rPr>
          <w:rFonts w:ascii="Arial" w:hAnsi="Arial" w:cs="Arial"/>
        </w:rPr>
        <w:t>A brass sprinkler head used in commercial agriculture</w:t>
      </w:r>
    </w:p>
    <w:p w:rsidR="00FE06D8" w:rsidRDefault="00FE06D8" w:rsidP="00EB483E">
      <w:pPr>
        <w:pStyle w:val="NoSpacing"/>
        <w:jc w:val="both"/>
        <w:rPr>
          <w:rFonts w:ascii="Arial" w:hAnsi="Arial" w:cs="Arial"/>
        </w:rPr>
      </w:pPr>
    </w:p>
    <w:p w:rsidR="00FE06D8" w:rsidRPr="001570AE" w:rsidRDefault="00FE06D8" w:rsidP="00EB483E">
      <w:pPr>
        <w:pStyle w:val="NoSpacing"/>
        <w:jc w:val="both"/>
        <w:rPr>
          <w:rFonts w:ascii="Arial" w:hAnsi="Arial" w:cs="Arial"/>
          <w:b/>
        </w:rPr>
      </w:pPr>
      <w:r w:rsidRPr="001570AE">
        <w:rPr>
          <w:rFonts w:ascii="Arial" w:hAnsi="Arial" w:cs="Arial"/>
          <w:b/>
        </w:rPr>
        <w:t>What constitutes “reasonable proof of ownership” or “reasonable proof to sell” in regard to restricted regulated metals?</w:t>
      </w:r>
    </w:p>
    <w:p w:rsidR="004E219C" w:rsidRDefault="004E219C" w:rsidP="00EB483E">
      <w:pPr>
        <w:pStyle w:val="NoSpacing"/>
        <w:jc w:val="both"/>
        <w:rPr>
          <w:rFonts w:ascii="Arial" w:hAnsi="Arial" w:cs="Arial"/>
        </w:rPr>
      </w:pPr>
    </w:p>
    <w:p w:rsidR="004E219C" w:rsidRDefault="00FE06D8" w:rsidP="00EB483E">
      <w:pPr>
        <w:pStyle w:val="NoSpacing"/>
        <w:ind w:left="720"/>
        <w:jc w:val="both"/>
        <w:rPr>
          <w:rFonts w:ascii="Arial" w:hAnsi="Arial" w:cs="Arial"/>
        </w:rPr>
      </w:pPr>
      <w:r>
        <w:rPr>
          <w:rFonts w:ascii="Arial" w:hAnsi="Arial" w:cs="Arial"/>
        </w:rPr>
        <w:t xml:space="preserve"> </w:t>
      </w:r>
      <w:r w:rsidR="00146C25">
        <w:rPr>
          <w:rFonts w:ascii="Arial" w:hAnsi="Arial" w:cs="Arial"/>
        </w:rPr>
        <w:t xml:space="preserve">Section </w:t>
      </w:r>
      <w:r w:rsidR="004E219C">
        <w:rPr>
          <w:rFonts w:ascii="Arial" w:hAnsi="Arial" w:cs="Arial"/>
        </w:rPr>
        <w:t>538.26(5</w:t>
      </w:r>
      <w:proofErr w:type="gramStart"/>
      <w:r w:rsidR="004E219C">
        <w:rPr>
          <w:rFonts w:ascii="Arial" w:hAnsi="Arial" w:cs="Arial"/>
        </w:rPr>
        <w:t>)(</w:t>
      </w:r>
      <w:proofErr w:type="gramEnd"/>
      <w:r w:rsidR="004E219C">
        <w:rPr>
          <w:rFonts w:ascii="Arial" w:hAnsi="Arial" w:cs="Arial"/>
        </w:rPr>
        <w:t>a)</w:t>
      </w:r>
      <w:r w:rsidR="00146C25">
        <w:rPr>
          <w:rFonts w:ascii="Arial" w:hAnsi="Arial" w:cs="Arial"/>
        </w:rPr>
        <w:t>, Florida Statutes,</w:t>
      </w:r>
      <w:r w:rsidR="004E219C">
        <w:rPr>
          <w:rFonts w:ascii="Arial" w:hAnsi="Arial" w:cs="Arial"/>
        </w:rPr>
        <w:t xml:space="preserve"> provides the following definitions. </w:t>
      </w:r>
    </w:p>
    <w:p w:rsidR="004E219C" w:rsidRDefault="004E219C" w:rsidP="00EB483E">
      <w:pPr>
        <w:pStyle w:val="NoSpacing"/>
        <w:ind w:left="720"/>
        <w:jc w:val="both"/>
        <w:rPr>
          <w:rFonts w:ascii="Arial" w:hAnsi="Arial" w:cs="Arial"/>
        </w:rPr>
      </w:pPr>
    </w:p>
    <w:p w:rsidR="00EB483E" w:rsidRDefault="00EB483E" w:rsidP="00EB483E">
      <w:pPr>
        <w:pStyle w:val="NoSpacing"/>
        <w:ind w:left="720"/>
        <w:jc w:val="both"/>
        <w:rPr>
          <w:rFonts w:ascii="Arial" w:hAnsi="Arial" w:cs="Arial"/>
        </w:rPr>
      </w:pPr>
      <w:r>
        <w:rPr>
          <w:rFonts w:ascii="Arial" w:hAnsi="Arial" w:cs="Arial"/>
        </w:rPr>
        <w:t>“</w:t>
      </w:r>
      <w:r w:rsidR="004E219C">
        <w:rPr>
          <w:rFonts w:ascii="Arial" w:hAnsi="Arial" w:cs="Arial"/>
        </w:rPr>
        <w:t xml:space="preserve">Reasonable proof of ownership </w:t>
      </w:r>
      <w:r>
        <w:rPr>
          <w:rFonts w:ascii="Arial" w:hAnsi="Arial" w:cs="Arial"/>
        </w:rPr>
        <w:t>may include</w:t>
      </w:r>
      <w:r w:rsidR="004E219C">
        <w:rPr>
          <w:rFonts w:ascii="Arial" w:hAnsi="Arial" w:cs="Arial"/>
        </w:rPr>
        <w:t>, but is not limited</w:t>
      </w:r>
      <w:r>
        <w:rPr>
          <w:rFonts w:ascii="Arial" w:hAnsi="Arial" w:cs="Arial"/>
        </w:rPr>
        <w:t xml:space="preserve"> to, a receipt or bill of sale;”</w:t>
      </w:r>
      <w:r w:rsidR="004E219C">
        <w:rPr>
          <w:rFonts w:ascii="Arial" w:hAnsi="Arial" w:cs="Arial"/>
        </w:rPr>
        <w:t xml:space="preserve"> </w:t>
      </w:r>
    </w:p>
    <w:p w:rsidR="00EB483E" w:rsidRDefault="00EB483E" w:rsidP="00EB483E">
      <w:pPr>
        <w:pStyle w:val="NoSpacing"/>
        <w:ind w:left="720"/>
        <w:jc w:val="both"/>
        <w:rPr>
          <w:rFonts w:ascii="Arial" w:hAnsi="Arial" w:cs="Arial"/>
        </w:rPr>
      </w:pPr>
    </w:p>
    <w:p w:rsidR="004E219C" w:rsidRDefault="004E219C" w:rsidP="00EB483E">
      <w:pPr>
        <w:pStyle w:val="NoSpacing"/>
        <w:ind w:left="720"/>
        <w:jc w:val="both"/>
        <w:rPr>
          <w:rFonts w:ascii="Arial" w:hAnsi="Arial" w:cs="Arial"/>
        </w:rPr>
      </w:pPr>
      <w:r>
        <w:rPr>
          <w:rFonts w:ascii="Arial" w:hAnsi="Arial" w:cs="Arial"/>
        </w:rPr>
        <w:t>“Reasonable proof of authorization to sell the property includes, but is not limited to, a signed letter on the owner’s letterhead, dated no later than 90 days before the sale, authorizing the seller to sell the property.”</w:t>
      </w:r>
    </w:p>
    <w:p w:rsidR="00146C25" w:rsidRDefault="00146C25" w:rsidP="00EB483E">
      <w:pPr>
        <w:pStyle w:val="NoSpacing"/>
        <w:ind w:left="720"/>
        <w:jc w:val="both"/>
        <w:rPr>
          <w:rFonts w:ascii="Arial" w:hAnsi="Arial" w:cs="Arial"/>
        </w:rPr>
      </w:pPr>
    </w:p>
    <w:p w:rsidR="004E219C" w:rsidRDefault="004E219C" w:rsidP="00EB483E">
      <w:pPr>
        <w:pStyle w:val="NoSpacing"/>
        <w:ind w:left="720"/>
        <w:jc w:val="both"/>
        <w:rPr>
          <w:rFonts w:ascii="Arial" w:hAnsi="Arial" w:cs="Arial"/>
        </w:rPr>
      </w:pPr>
      <w:r>
        <w:rPr>
          <w:rFonts w:ascii="Arial" w:hAnsi="Arial" w:cs="Arial"/>
        </w:rPr>
        <w:t>FDLE will not make determinations on the adequacy of proof of ownership or reasonable proof to sell.  Dealers with concerns should contact their local law enforcement agency or seek legal counsel.</w:t>
      </w:r>
    </w:p>
    <w:sectPr w:rsidR="004E219C" w:rsidSect="002E4824">
      <w:footerReference w:type="defaul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A5" w:rsidRDefault="008E2BA5" w:rsidP="002E4824">
      <w:pPr>
        <w:spacing w:after="0" w:line="240" w:lineRule="auto"/>
      </w:pPr>
      <w:r>
        <w:separator/>
      </w:r>
    </w:p>
  </w:endnote>
  <w:endnote w:type="continuationSeparator" w:id="0">
    <w:p w:rsidR="008E2BA5" w:rsidRDefault="008E2BA5" w:rsidP="002E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22272999"/>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2E4824" w:rsidRPr="002E4824" w:rsidRDefault="002E4824">
            <w:pPr>
              <w:pStyle w:val="Footer"/>
              <w:jc w:val="center"/>
              <w:rPr>
                <w:rFonts w:ascii="Arial" w:hAnsi="Arial" w:cs="Arial"/>
                <w:sz w:val="18"/>
                <w:szCs w:val="18"/>
              </w:rPr>
            </w:pPr>
            <w:r w:rsidRPr="002E4824">
              <w:rPr>
                <w:rFonts w:ascii="Arial" w:hAnsi="Arial" w:cs="Arial"/>
                <w:sz w:val="18"/>
                <w:szCs w:val="18"/>
              </w:rPr>
              <w:t xml:space="preserve">Page </w:t>
            </w:r>
            <w:r w:rsidRPr="002E4824">
              <w:rPr>
                <w:rFonts w:ascii="Arial" w:hAnsi="Arial" w:cs="Arial"/>
                <w:bCs/>
                <w:sz w:val="18"/>
                <w:szCs w:val="18"/>
              </w:rPr>
              <w:fldChar w:fldCharType="begin"/>
            </w:r>
            <w:r w:rsidRPr="002E4824">
              <w:rPr>
                <w:rFonts w:ascii="Arial" w:hAnsi="Arial" w:cs="Arial"/>
                <w:bCs/>
                <w:sz w:val="18"/>
                <w:szCs w:val="18"/>
              </w:rPr>
              <w:instrText xml:space="preserve"> PAGE </w:instrText>
            </w:r>
            <w:r w:rsidRPr="002E4824">
              <w:rPr>
                <w:rFonts w:ascii="Arial" w:hAnsi="Arial" w:cs="Arial"/>
                <w:bCs/>
                <w:sz w:val="18"/>
                <w:szCs w:val="18"/>
              </w:rPr>
              <w:fldChar w:fldCharType="separate"/>
            </w:r>
            <w:r w:rsidR="00C65EEF">
              <w:rPr>
                <w:rFonts w:ascii="Arial" w:hAnsi="Arial" w:cs="Arial"/>
                <w:bCs/>
                <w:noProof/>
                <w:sz w:val="18"/>
                <w:szCs w:val="18"/>
              </w:rPr>
              <w:t>1</w:t>
            </w:r>
            <w:r w:rsidRPr="002E4824">
              <w:rPr>
                <w:rFonts w:ascii="Arial" w:hAnsi="Arial" w:cs="Arial"/>
                <w:bCs/>
                <w:sz w:val="18"/>
                <w:szCs w:val="18"/>
              </w:rPr>
              <w:fldChar w:fldCharType="end"/>
            </w:r>
            <w:r w:rsidRPr="002E4824">
              <w:rPr>
                <w:rFonts w:ascii="Arial" w:hAnsi="Arial" w:cs="Arial"/>
                <w:sz w:val="18"/>
                <w:szCs w:val="18"/>
              </w:rPr>
              <w:t xml:space="preserve"> of </w:t>
            </w:r>
            <w:r w:rsidRPr="002E4824">
              <w:rPr>
                <w:rFonts w:ascii="Arial" w:hAnsi="Arial" w:cs="Arial"/>
                <w:bCs/>
                <w:sz w:val="18"/>
                <w:szCs w:val="18"/>
              </w:rPr>
              <w:fldChar w:fldCharType="begin"/>
            </w:r>
            <w:r w:rsidRPr="002E4824">
              <w:rPr>
                <w:rFonts w:ascii="Arial" w:hAnsi="Arial" w:cs="Arial"/>
                <w:bCs/>
                <w:sz w:val="18"/>
                <w:szCs w:val="18"/>
              </w:rPr>
              <w:instrText xml:space="preserve"> NUMPAGES  </w:instrText>
            </w:r>
            <w:r w:rsidRPr="002E4824">
              <w:rPr>
                <w:rFonts w:ascii="Arial" w:hAnsi="Arial" w:cs="Arial"/>
                <w:bCs/>
                <w:sz w:val="18"/>
                <w:szCs w:val="18"/>
              </w:rPr>
              <w:fldChar w:fldCharType="separate"/>
            </w:r>
            <w:r w:rsidR="00C65EEF">
              <w:rPr>
                <w:rFonts w:ascii="Arial" w:hAnsi="Arial" w:cs="Arial"/>
                <w:bCs/>
                <w:noProof/>
                <w:sz w:val="18"/>
                <w:szCs w:val="18"/>
              </w:rPr>
              <w:t>4</w:t>
            </w:r>
            <w:r w:rsidRPr="002E4824">
              <w:rPr>
                <w:rFonts w:ascii="Arial" w:hAnsi="Arial" w:cs="Arial"/>
                <w:bCs/>
                <w:sz w:val="18"/>
                <w:szCs w:val="18"/>
              </w:rPr>
              <w:fldChar w:fldCharType="end"/>
            </w:r>
          </w:p>
        </w:sdtContent>
      </w:sdt>
    </w:sdtContent>
  </w:sdt>
  <w:p w:rsidR="002E4824" w:rsidRDefault="002E4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A5" w:rsidRDefault="008E2BA5" w:rsidP="002E4824">
      <w:pPr>
        <w:spacing w:after="0" w:line="240" w:lineRule="auto"/>
      </w:pPr>
      <w:r>
        <w:separator/>
      </w:r>
    </w:p>
  </w:footnote>
  <w:footnote w:type="continuationSeparator" w:id="0">
    <w:p w:rsidR="008E2BA5" w:rsidRDefault="008E2BA5" w:rsidP="002E4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770"/>
    <w:multiLevelType w:val="hybridMultilevel"/>
    <w:tmpl w:val="EDF2F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2C3ABF"/>
    <w:multiLevelType w:val="hybridMultilevel"/>
    <w:tmpl w:val="E47E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202B2C"/>
    <w:multiLevelType w:val="hybridMultilevel"/>
    <w:tmpl w:val="D700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81D06"/>
    <w:multiLevelType w:val="multilevel"/>
    <w:tmpl w:val="4C7C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2569F"/>
    <w:multiLevelType w:val="hybridMultilevel"/>
    <w:tmpl w:val="C6C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55"/>
    <w:rsid w:val="000363D5"/>
    <w:rsid w:val="0004255B"/>
    <w:rsid w:val="00126342"/>
    <w:rsid w:val="00146C25"/>
    <w:rsid w:val="001570AE"/>
    <w:rsid w:val="002573CC"/>
    <w:rsid w:val="002E4824"/>
    <w:rsid w:val="00321DBB"/>
    <w:rsid w:val="00393C2B"/>
    <w:rsid w:val="003C1CBB"/>
    <w:rsid w:val="0049256E"/>
    <w:rsid w:val="004B36EC"/>
    <w:rsid w:val="004D2455"/>
    <w:rsid w:val="004E219C"/>
    <w:rsid w:val="004E2B40"/>
    <w:rsid w:val="00552103"/>
    <w:rsid w:val="00566500"/>
    <w:rsid w:val="005C1FE6"/>
    <w:rsid w:val="005D5512"/>
    <w:rsid w:val="005E05AB"/>
    <w:rsid w:val="006578E0"/>
    <w:rsid w:val="006A4F7E"/>
    <w:rsid w:val="006B36FA"/>
    <w:rsid w:val="006B61A1"/>
    <w:rsid w:val="006D0B36"/>
    <w:rsid w:val="0071460C"/>
    <w:rsid w:val="00777914"/>
    <w:rsid w:val="00817829"/>
    <w:rsid w:val="00837048"/>
    <w:rsid w:val="00881F32"/>
    <w:rsid w:val="00887E52"/>
    <w:rsid w:val="008E0ED4"/>
    <w:rsid w:val="008E2BA5"/>
    <w:rsid w:val="00903E6C"/>
    <w:rsid w:val="00986BC9"/>
    <w:rsid w:val="00994778"/>
    <w:rsid w:val="009C699E"/>
    <w:rsid w:val="00BB4EE8"/>
    <w:rsid w:val="00C542EA"/>
    <w:rsid w:val="00C65EEF"/>
    <w:rsid w:val="00D63048"/>
    <w:rsid w:val="00DB5670"/>
    <w:rsid w:val="00E22B28"/>
    <w:rsid w:val="00E242BB"/>
    <w:rsid w:val="00E36AEC"/>
    <w:rsid w:val="00EB483E"/>
    <w:rsid w:val="00EB4C9F"/>
    <w:rsid w:val="00ED13A1"/>
    <w:rsid w:val="00FA5867"/>
    <w:rsid w:val="00FC1831"/>
    <w:rsid w:val="00FE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3CC"/>
    <w:pPr>
      <w:spacing w:after="0" w:line="240" w:lineRule="auto"/>
    </w:pPr>
  </w:style>
  <w:style w:type="character" w:styleId="Hyperlink">
    <w:name w:val="Hyperlink"/>
    <w:basedOn w:val="DefaultParagraphFont"/>
    <w:uiPriority w:val="99"/>
    <w:unhideWhenUsed/>
    <w:rsid w:val="004D2455"/>
    <w:rPr>
      <w:color w:val="0000FF"/>
      <w:u w:val="single"/>
    </w:rPr>
  </w:style>
  <w:style w:type="character" w:styleId="FollowedHyperlink">
    <w:name w:val="FollowedHyperlink"/>
    <w:basedOn w:val="DefaultParagraphFont"/>
    <w:uiPriority w:val="99"/>
    <w:semiHidden/>
    <w:unhideWhenUsed/>
    <w:rsid w:val="004D2455"/>
    <w:rPr>
      <w:color w:val="800080" w:themeColor="followedHyperlink"/>
      <w:u w:val="single"/>
    </w:rPr>
  </w:style>
  <w:style w:type="paragraph" w:styleId="NormalWeb">
    <w:name w:val="Normal (Web)"/>
    <w:basedOn w:val="Normal"/>
    <w:uiPriority w:val="99"/>
    <w:semiHidden/>
    <w:unhideWhenUsed/>
    <w:rsid w:val="00903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E6C"/>
    <w:rPr>
      <w:b/>
      <w:bCs/>
    </w:rPr>
  </w:style>
  <w:style w:type="paragraph" w:styleId="BalloonText">
    <w:name w:val="Balloon Text"/>
    <w:basedOn w:val="Normal"/>
    <w:link w:val="BalloonTextChar"/>
    <w:uiPriority w:val="99"/>
    <w:semiHidden/>
    <w:unhideWhenUsed/>
    <w:rsid w:val="0039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2B"/>
    <w:rPr>
      <w:rFonts w:ascii="Tahoma" w:hAnsi="Tahoma" w:cs="Tahoma"/>
      <w:sz w:val="16"/>
      <w:szCs w:val="16"/>
    </w:rPr>
  </w:style>
  <w:style w:type="table" w:styleId="TableGrid">
    <w:name w:val="Table Grid"/>
    <w:basedOn w:val="TableNormal"/>
    <w:uiPriority w:val="59"/>
    <w:rsid w:val="00FE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824"/>
  </w:style>
  <w:style w:type="paragraph" w:styleId="Footer">
    <w:name w:val="footer"/>
    <w:basedOn w:val="Normal"/>
    <w:link w:val="FooterChar"/>
    <w:uiPriority w:val="99"/>
    <w:unhideWhenUsed/>
    <w:rsid w:val="002E4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3CC"/>
    <w:pPr>
      <w:spacing w:after="0" w:line="240" w:lineRule="auto"/>
    </w:pPr>
  </w:style>
  <w:style w:type="character" w:styleId="Hyperlink">
    <w:name w:val="Hyperlink"/>
    <w:basedOn w:val="DefaultParagraphFont"/>
    <w:uiPriority w:val="99"/>
    <w:unhideWhenUsed/>
    <w:rsid w:val="004D2455"/>
    <w:rPr>
      <w:color w:val="0000FF"/>
      <w:u w:val="single"/>
    </w:rPr>
  </w:style>
  <w:style w:type="character" w:styleId="FollowedHyperlink">
    <w:name w:val="FollowedHyperlink"/>
    <w:basedOn w:val="DefaultParagraphFont"/>
    <w:uiPriority w:val="99"/>
    <w:semiHidden/>
    <w:unhideWhenUsed/>
    <w:rsid w:val="004D2455"/>
    <w:rPr>
      <w:color w:val="800080" w:themeColor="followedHyperlink"/>
      <w:u w:val="single"/>
    </w:rPr>
  </w:style>
  <w:style w:type="paragraph" w:styleId="NormalWeb">
    <w:name w:val="Normal (Web)"/>
    <w:basedOn w:val="Normal"/>
    <w:uiPriority w:val="99"/>
    <w:semiHidden/>
    <w:unhideWhenUsed/>
    <w:rsid w:val="00903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E6C"/>
    <w:rPr>
      <w:b/>
      <w:bCs/>
    </w:rPr>
  </w:style>
  <w:style w:type="paragraph" w:styleId="BalloonText">
    <w:name w:val="Balloon Text"/>
    <w:basedOn w:val="Normal"/>
    <w:link w:val="BalloonTextChar"/>
    <w:uiPriority w:val="99"/>
    <w:semiHidden/>
    <w:unhideWhenUsed/>
    <w:rsid w:val="0039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2B"/>
    <w:rPr>
      <w:rFonts w:ascii="Tahoma" w:hAnsi="Tahoma" w:cs="Tahoma"/>
      <w:sz w:val="16"/>
      <w:szCs w:val="16"/>
    </w:rPr>
  </w:style>
  <w:style w:type="table" w:styleId="TableGrid">
    <w:name w:val="Table Grid"/>
    <w:basedOn w:val="TableNormal"/>
    <w:uiPriority w:val="59"/>
    <w:rsid w:val="00FE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824"/>
  </w:style>
  <w:style w:type="paragraph" w:styleId="Footer">
    <w:name w:val="footer"/>
    <w:basedOn w:val="Normal"/>
    <w:link w:val="FooterChar"/>
    <w:uiPriority w:val="99"/>
    <w:unhideWhenUsed/>
    <w:rsid w:val="002E4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0559">
      <w:bodyDiv w:val="1"/>
      <w:marLeft w:val="0"/>
      <w:marRight w:val="0"/>
      <w:marTop w:val="0"/>
      <w:marBottom w:val="0"/>
      <w:divBdr>
        <w:top w:val="none" w:sz="0" w:space="0" w:color="auto"/>
        <w:left w:val="none" w:sz="0" w:space="0" w:color="auto"/>
        <w:bottom w:val="none" w:sz="0" w:space="0" w:color="auto"/>
        <w:right w:val="none" w:sz="0" w:space="0" w:color="auto"/>
      </w:divBdr>
      <w:divsChild>
        <w:div w:id="1825511025">
          <w:marLeft w:val="0"/>
          <w:marRight w:val="0"/>
          <w:marTop w:val="0"/>
          <w:marBottom w:val="0"/>
          <w:divBdr>
            <w:top w:val="none" w:sz="0" w:space="0" w:color="auto"/>
            <w:left w:val="none" w:sz="0" w:space="0" w:color="auto"/>
            <w:bottom w:val="none" w:sz="0" w:space="0" w:color="auto"/>
            <w:right w:val="none" w:sz="0" w:space="0" w:color="auto"/>
          </w:divBdr>
          <w:divsChild>
            <w:div w:id="681585510">
              <w:marLeft w:val="0"/>
              <w:marRight w:val="0"/>
              <w:marTop w:val="0"/>
              <w:marBottom w:val="0"/>
              <w:divBdr>
                <w:top w:val="none" w:sz="0" w:space="0" w:color="auto"/>
                <w:left w:val="none" w:sz="0" w:space="0" w:color="auto"/>
                <w:bottom w:val="none" w:sz="0" w:space="0" w:color="auto"/>
                <w:right w:val="none" w:sz="0" w:space="0" w:color="auto"/>
              </w:divBdr>
              <w:divsChild>
                <w:div w:id="1540775820">
                  <w:marLeft w:val="0"/>
                  <w:marRight w:val="0"/>
                  <w:marTop w:val="0"/>
                  <w:marBottom w:val="0"/>
                  <w:divBdr>
                    <w:top w:val="none" w:sz="0" w:space="0" w:color="auto"/>
                    <w:left w:val="none" w:sz="0" w:space="0" w:color="auto"/>
                    <w:bottom w:val="none" w:sz="0" w:space="0" w:color="auto"/>
                    <w:right w:val="none" w:sz="0" w:space="0" w:color="auto"/>
                  </w:divBdr>
                  <w:divsChild>
                    <w:div w:id="27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8650">
      <w:bodyDiv w:val="1"/>
      <w:marLeft w:val="150"/>
      <w:marRight w:val="150"/>
      <w:marTop w:val="0"/>
      <w:marBottom w:val="0"/>
      <w:divBdr>
        <w:top w:val="none" w:sz="0" w:space="0" w:color="auto"/>
        <w:left w:val="none" w:sz="0" w:space="0" w:color="auto"/>
        <w:bottom w:val="none" w:sz="0" w:space="0" w:color="auto"/>
        <w:right w:val="none" w:sz="0" w:space="0" w:color="auto"/>
      </w:divBdr>
      <w:divsChild>
        <w:div w:id="362369501">
          <w:marLeft w:val="0"/>
          <w:marRight w:val="0"/>
          <w:marTop w:val="0"/>
          <w:marBottom w:val="0"/>
          <w:divBdr>
            <w:top w:val="none" w:sz="0" w:space="0" w:color="auto"/>
            <w:left w:val="none" w:sz="0" w:space="0" w:color="auto"/>
            <w:bottom w:val="none" w:sz="0" w:space="0" w:color="auto"/>
            <w:right w:val="none" w:sz="0" w:space="0" w:color="auto"/>
          </w:divBdr>
        </w:div>
      </w:divsChild>
    </w:div>
    <w:div w:id="1037898219">
      <w:bodyDiv w:val="1"/>
      <w:marLeft w:val="0"/>
      <w:marRight w:val="0"/>
      <w:marTop w:val="0"/>
      <w:marBottom w:val="0"/>
      <w:divBdr>
        <w:top w:val="none" w:sz="0" w:space="0" w:color="auto"/>
        <w:left w:val="none" w:sz="0" w:space="0" w:color="auto"/>
        <w:bottom w:val="none" w:sz="0" w:space="0" w:color="auto"/>
        <w:right w:val="none" w:sz="0" w:space="0" w:color="auto"/>
      </w:divBdr>
      <w:divsChild>
        <w:div w:id="1466309055">
          <w:marLeft w:val="0"/>
          <w:marRight w:val="0"/>
          <w:marTop w:val="0"/>
          <w:marBottom w:val="0"/>
          <w:divBdr>
            <w:top w:val="none" w:sz="0" w:space="0" w:color="auto"/>
            <w:left w:val="none" w:sz="0" w:space="0" w:color="auto"/>
            <w:bottom w:val="none" w:sz="0" w:space="0" w:color="auto"/>
            <w:right w:val="none" w:sz="0" w:space="0" w:color="auto"/>
          </w:divBdr>
          <w:divsChild>
            <w:div w:id="939724766">
              <w:marLeft w:val="0"/>
              <w:marRight w:val="0"/>
              <w:marTop w:val="0"/>
              <w:marBottom w:val="0"/>
              <w:divBdr>
                <w:top w:val="none" w:sz="0" w:space="0" w:color="auto"/>
                <w:left w:val="none" w:sz="0" w:space="0" w:color="auto"/>
                <w:bottom w:val="none" w:sz="0" w:space="0" w:color="auto"/>
                <w:right w:val="none" w:sz="0" w:space="0" w:color="auto"/>
              </w:divBdr>
              <w:divsChild>
                <w:div w:id="848104096">
                  <w:marLeft w:val="0"/>
                  <w:marRight w:val="0"/>
                  <w:marTop w:val="0"/>
                  <w:marBottom w:val="0"/>
                  <w:divBdr>
                    <w:top w:val="none" w:sz="0" w:space="0" w:color="auto"/>
                    <w:left w:val="none" w:sz="0" w:space="0" w:color="auto"/>
                    <w:bottom w:val="none" w:sz="0" w:space="0" w:color="auto"/>
                    <w:right w:val="none" w:sz="0" w:space="0" w:color="auto"/>
                  </w:divBdr>
                  <w:divsChild>
                    <w:div w:id="8350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3813">
      <w:bodyDiv w:val="1"/>
      <w:marLeft w:val="0"/>
      <w:marRight w:val="0"/>
      <w:marTop w:val="0"/>
      <w:marBottom w:val="0"/>
      <w:divBdr>
        <w:top w:val="none" w:sz="0" w:space="0" w:color="auto"/>
        <w:left w:val="none" w:sz="0" w:space="0" w:color="auto"/>
        <w:bottom w:val="none" w:sz="0" w:space="0" w:color="auto"/>
        <w:right w:val="none" w:sz="0" w:space="0" w:color="auto"/>
      </w:divBdr>
      <w:divsChild>
        <w:div w:id="296180735">
          <w:marLeft w:val="0"/>
          <w:marRight w:val="0"/>
          <w:marTop w:val="0"/>
          <w:marBottom w:val="0"/>
          <w:divBdr>
            <w:top w:val="none" w:sz="0" w:space="0" w:color="auto"/>
            <w:left w:val="none" w:sz="0" w:space="0" w:color="auto"/>
            <w:bottom w:val="none" w:sz="0" w:space="0" w:color="auto"/>
            <w:right w:val="none" w:sz="0" w:space="0" w:color="auto"/>
          </w:divBdr>
          <w:divsChild>
            <w:div w:id="1404640208">
              <w:marLeft w:val="3150"/>
              <w:marRight w:val="0"/>
              <w:marTop w:val="150"/>
              <w:marBottom w:val="0"/>
              <w:divBdr>
                <w:top w:val="none" w:sz="0" w:space="0" w:color="auto"/>
                <w:left w:val="none" w:sz="0" w:space="0" w:color="auto"/>
                <w:bottom w:val="none" w:sz="0" w:space="0" w:color="auto"/>
                <w:right w:val="none" w:sz="0" w:space="0" w:color="auto"/>
              </w:divBdr>
              <w:divsChild>
                <w:div w:id="14249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le.state.fl.us/SMI/Documents/FLORIDA-SECONDARY-METALS-RECYCLER-PURCHASE-TRANSAC.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le.state.fl.us/SMI/Documents/Secondary-Metals-Recycling-Form-Data-Element-Lis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dle.state.fl.us/SMI/Documents/Secondary-Metals-Recycling-Form-Data-Element-Lis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le.state.fl.us/SMI/Documents/FLORIDA-SECONDARY-METALS-RECYCLER-PURCHASE-TRANSAC.aspx" TargetMode="External"/><Relationship Id="rId5" Type="http://schemas.openxmlformats.org/officeDocument/2006/relationships/settings" Target="settings.xml"/><Relationship Id="rId15" Type="http://schemas.openxmlformats.org/officeDocument/2006/relationships/hyperlink" Target="mailto:MetalsForms@fdle.state.fl.us" TargetMode="External"/><Relationship Id="rId10" Type="http://schemas.openxmlformats.org/officeDocument/2006/relationships/hyperlink" Target="https://www.flhsmv.gov/motor-vehicles-tags-titles/dealers-installers-manufacturers-distributors-importe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r.myflorida.com/dor/taxes/secondhand_dealers_recyclers.html" TargetMode="External"/><Relationship Id="rId14" Type="http://schemas.openxmlformats.org/officeDocument/2006/relationships/hyperlink" Target="mailto:MetalsForms@fdle.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DE29-1469-4E86-A197-B73E8D2A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Lyn</dc:creator>
  <cp:lastModifiedBy>Kilgore, Chet</cp:lastModifiedBy>
  <cp:revision>6</cp:revision>
  <cp:lastPrinted>2012-11-28T16:16:00Z</cp:lastPrinted>
  <dcterms:created xsi:type="dcterms:W3CDTF">2012-12-14T20:37:00Z</dcterms:created>
  <dcterms:modified xsi:type="dcterms:W3CDTF">2018-10-03T15:30:00Z</dcterms:modified>
</cp:coreProperties>
</file>