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A75FE5">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32081E">
                              <w:rPr>
                                <w:rFonts w:ascii="Arial" w:hAnsi="Arial" w:cs="Arial"/>
                                <w:b/>
                              </w:rPr>
                              <w:t>Media Protection</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32081E">
                        <w:rPr>
                          <w:rFonts w:ascii="Arial" w:hAnsi="Arial" w:cs="Arial"/>
                          <w:b/>
                        </w:rPr>
                        <w:t>Media Protection</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A75FE5" w:rsidRDefault="00A75FE5" w:rsidP="0042228A">
      <w:pPr>
        <w:rPr>
          <w:sz w:val="20"/>
          <w:szCs w:val="20"/>
        </w:rPr>
      </w:pPr>
    </w:p>
    <w:p w:rsidR="00A75FE5" w:rsidRDefault="00A75FE5" w:rsidP="0042228A">
      <w:pPr>
        <w:rPr>
          <w:sz w:val="20"/>
          <w:szCs w:val="20"/>
        </w:rPr>
      </w:pPr>
    </w:p>
    <w:p w:rsidR="0042228A" w:rsidRPr="0042228A" w:rsidRDefault="0032081E" w:rsidP="0042228A">
      <w:pPr>
        <w:rPr>
          <w:sz w:val="20"/>
          <w:szCs w:val="20"/>
        </w:rPr>
      </w:pPr>
      <w:r>
        <w:rPr>
          <w:sz w:val="20"/>
          <w:szCs w:val="20"/>
        </w:rPr>
        <w:t>The purpose of this policy is outline how media is protected in a secure manner by authorized individuals of the Agency.</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A75FE5">
        <w:rPr>
          <w:sz w:val="20"/>
          <w:szCs w:val="20"/>
        </w:rPr>
        <w:t>Agency</w:t>
      </w:r>
      <w:r w:rsidRPr="0042228A">
        <w:rPr>
          <w:sz w:val="20"/>
          <w:szCs w:val="20"/>
        </w:rPr>
        <w:t xml:space="preserve"> 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A75FE5">
        <w:rPr>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882C9C" w:rsidRPr="0042228A" w:rsidRDefault="00882C9C" w:rsidP="001266B7">
      <w:pPr>
        <w:rPr>
          <w:sz w:val="20"/>
          <w:szCs w:val="20"/>
        </w:rPr>
      </w:pPr>
    </w:p>
    <w:p w:rsidR="001266B7" w:rsidRPr="00A75FE5" w:rsidRDefault="0032081E" w:rsidP="001266B7">
      <w:pPr>
        <w:rPr>
          <w:sz w:val="20"/>
          <w:szCs w:val="20"/>
        </w:rPr>
      </w:pPr>
      <w:r w:rsidRPr="00A75FE5">
        <w:rPr>
          <w:sz w:val="20"/>
          <w:szCs w:val="20"/>
        </w:rPr>
        <w:t>Digital and physical media is restricted to authorized individuals. Only those users of the Agency who have undergone a fingerprint based record check and have appropriate security awareness training will be allowed to handle criminal justice information i</w:t>
      </w:r>
      <w:bookmarkStart w:id="2" w:name="_GoBack"/>
      <w:bookmarkEnd w:id="2"/>
      <w:r w:rsidRPr="00A75FE5">
        <w:rPr>
          <w:sz w:val="20"/>
          <w:szCs w:val="20"/>
        </w:rPr>
        <w:t>n any form.</w:t>
      </w:r>
    </w:p>
    <w:p w:rsidR="0032081E" w:rsidRPr="00A75FE5" w:rsidRDefault="0032081E" w:rsidP="001266B7">
      <w:pPr>
        <w:rPr>
          <w:sz w:val="20"/>
          <w:szCs w:val="20"/>
        </w:rPr>
      </w:pPr>
      <w:r w:rsidRPr="00A75FE5">
        <w:rPr>
          <w:sz w:val="20"/>
          <w:szCs w:val="20"/>
        </w:rPr>
        <w:t xml:space="preserve">Handling physical media- The Agency will ensure that only authorized individuals will be granted access to media containing criminal justice information. The media will be stored within the physically secure building and kept behind locked doors and locked cabinets. </w:t>
      </w:r>
    </w:p>
    <w:p w:rsidR="0032081E" w:rsidRPr="00A75FE5" w:rsidRDefault="0032081E" w:rsidP="001266B7">
      <w:pPr>
        <w:rPr>
          <w:sz w:val="20"/>
          <w:szCs w:val="20"/>
        </w:rPr>
      </w:pPr>
      <w:r w:rsidRPr="00A75FE5">
        <w:rPr>
          <w:sz w:val="20"/>
          <w:szCs w:val="20"/>
        </w:rPr>
        <w:t xml:space="preserve">Any computer that accesses criminal justice information within the facility will have a screen cover to ensure that information is not viewable by any unauthorized individual. </w:t>
      </w:r>
    </w:p>
    <w:p w:rsidR="0032081E" w:rsidRPr="00A75FE5" w:rsidRDefault="0032081E" w:rsidP="001266B7">
      <w:pPr>
        <w:rPr>
          <w:sz w:val="20"/>
          <w:szCs w:val="20"/>
        </w:rPr>
      </w:pPr>
      <w:r w:rsidRPr="00A75FE5">
        <w:rPr>
          <w:sz w:val="20"/>
          <w:szCs w:val="20"/>
        </w:rPr>
        <w:t xml:space="preserve">Any media that is transported outside the physically secure location will be kept in a sealed envelope with evidence tape to ensure that the chain of custody is kept. When the media is released to another user, the user will document the transaction in a secondary dissemination log for validation purposes. </w:t>
      </w:r>
    </w:p>
    <w:p w:rsidR="00A306AC" w:rsidRPr="00A75FE5" w:rsidRDefault="0032081E" w:rsidP="001266B7">
      <w:pPr>
        <w:rPr>
          <w:sz w:val="20"/>
          <w:szCs w:val="20"/>
        </w:rPr>
      </w:pPr>
      <w:r w:rsidRPr="00A75FE5">
        <w:rPr>
          <w:sz w:val="20"/>
          <w:szCs w:val="20"/>
        </w:rPr>
        <w:t xml:space="preserve">At no time will the physical media be released to an unauthorized person or left without proper documentation. </w:t>
      </w:r>
    </w:p>
    <w:p w:rsidR="00CB7473" w:rsidRDefault="00CB7473" w:rsidP="00CB7473">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AEE" w:rsidRDefault="00F66AEE" w:rsidP="005D2BD2">
      <w:r>
        <w:separator/>
      </w:r>
    </w:p>
  </w:endnote>
  <w:endnote w:type="continuationSeparator" w:id="0">
    <w:p w:rsidR="00F66AEE" w:rsidRDefault="00F66AEE"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F66AEE">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AEE" w:rsidRDefault="00F66AEE" w:rsidP="005D2BD2">
      <w:r>
        <w:separator/>
      </w:r>
    </w:p>
  </w:footnote>
  <w:footnote w:type="continuationSeparator" w:id="0">
    <w:p w:rsidR="00F66AEE" w:rsidRDefault="00F66AEE"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A75FE5">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A75FE5">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266B7"/>
    <w:rsid w:val="001B58E0"/>
    <w:rsid w:val="001E000B"/>
    <w:rsid w:val="001F2728"/>
    <w:rsid w:val="00226572"/>
    <w:rsid w:val="00273C20"/>
    <w:rsid w:val="00297239"/>
    <w:rsid w:val="00310CF0"/>
    <w:rsid w:val="003132CA"/>
    <w:rsid w:val="0031353B"/>
    <w:rsid w:val="0032081E"/>
    <w:rsid w:val="00331A41"/>
    <w:rsid w:val="003402C6"/>
    <w:rsid w:val="00347929"/>
    <w:rsid w:val="00373447"/>
    <w:rsid w:val="003845C9"/>
    <w:rsid w:val="0042228A"/>
    <w:rsid w:val="004757AF"/>
    <w:rsid w:val="004760C6"/>
    <w:rsid w:val="004B2F9F"/>
    <w:rsid w:val="004D1917"/>
    <w:rsid w:val="00525BE5"/>
    <w:rsid w:val="00553695"/>
    <w:rsid w:val="005C31CF"/>
    <w:rsid w:val="005D2BD2"/>
    <w:rsid w:val="005D2DC7"/>
    <w:rsid w:val="006154A7"/>
    <w:rsid w:val="00622FAD"/>
    <w:rsid w:val="00625E6E"/>
    <w:rsid w:val="00631563"/>
    <w:rsid w:val="00637016"/>
    <w:rsid w:val="006400C9"/>
    <w:rsid w:val="00671E4B"/>
    <w:rsid w:val="00681653"/>
    <w:rsid w:val="00682007"/>
    <w:rsid w:val="006E515F"/>
    <w:rsid w:val="00704E54"/>
    <w:rsid w:val="0071652D"/>
    <w:rsid w:val="00744EE3"/>
    <w:rsid w:val="007A121F"/>
    <w:rsid w:val="007B6372"/>
    <w:rsid w:val="00882C9C"/>
    <w:rsid w:val="008F3445"/>
    <w:rsid w:val="00946CBE"/>
    <w:rsid w:val="00957BDE"/>
    <w:rsid w:val="00977100"/>
    <w:rsid w:val="00984BEE"/>
    <w:rsid w:val="00A306AC"/>
    <w:rsid w:val="00A37247"/>
    <w:rsid w:val="00A5431C"/>
    <w:rsid w:val="00A726FC"/>
    <w:rsid w:val="00A7349B"/>
    <w:rsid w:val="00A75D54"/>
    <w:rsid w:val="00A75FE5"/>
    <w:rsid w:val="00AC5708"/>
    <w:rsid w:val="00AC73ED"/>
    <w:rsid w:val="00BC17DB"/>
    <w:rsid w:val="00BC277F"/>
    <w:rsid w:val="00BD7343"/>
    <w:rsid w:val="00BF15DC"/>
    <w:rsid w:val="00CA1D37"/>
    <w:rsid w:val="00CB7473"/>
    <w:rsid w:val="00CC0D63"/>
    <w:rsid w:val="00CF7DD3"/>
    <w:rsid w:val="00D0432A"/>
    <w:rsid w:val="00E206CC"/>
    <w:rsid w:val="00E953AB"/>
    <w:rsid w:val="00EA5FAF"/>
    <w:rsid w:val="00EA7508"/>
    <w:rsid w:val="00EB0BE0"/>
    <w:rsid w:val="00F34E82"/>
    <w:rsid w:val="00F66AEE"/>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57370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F82DC-09C3-447F-98B4-A58C6CE3C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2016-08-15T20:39:00Z</dcterms:created>
  <dcterms:modified xsi:type="dcterms:W3CDTF">2016-08-16T13:42:00Z</dcterms:modified>
</cp:coreProperties>
</file>