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42228A" w:rsidRDefault="00A306AC" w:rsidP="00F73659">
      <w:pPr>
        <w:spacing w:after="0" w:line="240" w:lineRule="auto"/>
        <w:contextualSpacing/>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EA7508" w:rsidRPr="00625E6E" w:rsidRDefault="00F34E82" w:rsidP="00625E6E">
      <w:pPr>
        <w:tabs>
          <w:tab w:val="left" w:pos="180"/>
        </w:tabs>
        <w:rPr>
          <w:rFonts w:ascii="Courier" w:hAnsi="Courier"/>
          <w:sz w:val="24"/>
        </w:rPr>
      </w:pPr>
      <w:r>
        <w:rPr>
          <w:noProof/>
        </w:rPr>
        <mc:AlternateContent>
          <mc:Choice Requires="wps">
            <w:drawing>
              <wp:anchor distT="0" distB="0" distL="114300" distR="114300" simplePos="0" relativeHeight="251664384" behindDoc="0" locked="0" layoutInCell="1" allowOverlap="1" wp14:anchorId="7F7CD55B" wp14:editId="7311F7E5">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E933B5">
                              <w:rPr>
                                <w:rFonts w:ascii="Arial" w:hAnsi="Arial" w:cs="Arial"/>
                                <w:b/>
                              </w:rPr>
                              <w:t>Electronic Media Sanitization and Disposal</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">
                <v:textbox>
                  <w:txbxContent>
                    <w:p w:rsidR="00103AD6" w:rsidRDefault="00BC17DB" w:rsidP="00103AD6">
                      <w:pPr>
                        <w:rPr>
                          <w:rFonts w:ascii="Arial" w:hAnsi="Arial" w:cs="Arial"/>
                          <w:b/>
                        </w:rPr>
                      </w:pPr>
                      <w:r>
                        <w:rPr>
                          <w:rFonts w:ascii="Arial" w:hAnsi="Arial" w:cs="Arial"/>
                          <w:b/>
                        </w:rPr>
                        <w:t xml:space="preserve">Title:  </w:t>
                      </w:r>
                      <w:r w:rsidR="00E933B5">
                        <w:rPr>
                          <w:rFonts w:ascii="Arial" w:hAnsi="Arial" w:cs="Arial"/>
                          <w:b/>
                        </w:rPr>
                        <w:t>Electronic Media Sanitization and Disposal</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625E6E">
                      <w:pPr>
                        <w:spacing w:after="0" w:line="240" w:lineRule="auto"/>
                        <w:contextualSpacing/>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2228A" w:rsidRDefault="0042228A" w:rsidP="0042228A">
      <w:pPr>
        <w:spacing w:after="0" w:line="240" w:lineRule="auto"/>
        <w:contextualSpacing/>
        <w:rPr>
          <w:sz w:val="20"/>
          <w:szCs w:val="20"/>
        </w:rPr>
      </w:pPr>
    </w:p>
    <w:p w:rsidR="00F73659" w:rsidRDefault="00F73659" w:rsidP="00BD4DA1">
      <w:pPr>
        <w:spacing w:after="0" w:line="240" w:lineRule="auto"/>
        <w:jc w:val="both"/>
        <w:rPr>
          <w:sz w:val="20"/>
          <w:szCs w:val="20"/>
        </w:rPr>
      </w:pPr>
    </w:p>
    <w:p w:rsidR="00F73659" w:rsidRDefault="00F73659" w:rsidP="00BD4DA1">
      <w:pPr>
        <w:spacing w:after="0" w:line="240" w:lineRule="auto"/>
        <w:jc w:val="both"/>
        <w:rPr>
          <w:sz w:val="20"/>
          <w:szCs w:val="20"/>
        </w:rPr>
      </w:pPr>
    </w:p>
    <w:p w:rsidR="00F73659" w:rsidRDefault="00F73659" w:rsidP="00BD4DA1">
      <w:pPr>
        <w:spacing w:after="0" w:line="240" w:lineRule="auto"/>
        <w:jc w:val="both"/>
        <w:rPr>
          <w:sz w:val="20"/>
          <w:szCs w:val="20"/>
        </w:rPr>
      </w:pPr>
    </w:p>
    <w:p w:rsidR="00BD4DA1" w:rsidRPr="00BD4DA1" w:rsidRDefault="00BD4DA1" w:rsidP="00BD4DA1">
      <w:pPr>
        <w:spacing w:after="0" w:line="240" w:lineRule="auto"/>
        <w:jc w:val="both"/>
        <w:rPr>
          <w:sz w:val="20"/>
          <w:szCs w:val="20"/>
        </w:rPr>
      </w:pPr>
      <w:r w:rsidRPr="00BD4DA1">
        <w:rPr>
          <w:sz w:val="20"/>
          <w:szCs w:val="20"/>
        </w:rPr>
        <w:t>Electronic media that has reached the end of its lifecycle must be sanitized and disposed of to ensure that criminal justice information is not viewed or accessed by unauthorized individuals. Electronic media is defined as any electronic storage device that is used to record information, including, but not limited to: hard disks, magnetic tapes, compact disks, videotapes, audiotapes, and removable storage devices such as USB drives.</w:t>
      </w:r>
    </w:p>
    <w:p w:rsidR="00E933B5" w:rsidRPr="0042228A" w:rsidRDefault="00E933B5" w:rsidP="00E933B5">
      <w:pPr>
        <w:spacing w:after="0" w:line="240" w:lineRule="auto"/>
        <w:jc w:val="both"/>
        <w:rPr>
          <w:sz w:val="20"/>
          <w:szCs w:val="20"/>
        </w:rPr>
      </w:pP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jc w:val="center"/>
              <w:rPr>
                <w:b/>
                <w:sz w:val="28"/>
                <w:szCs w:val="28"/>
              </w:rPr>
            </w:pPr>
            <w:r>
              <w:rPr>
                <w:b/>
                <w:sz w:val="28"/>
                <w:szCs w:val="28"/>
              </w:rPr>
              <w:t>Scope</w:t>
            </w:r>
          </w:p>
        </w:tc>
      </w:tr>
    </w:tbl>
    <w:p w:rsidR="0042228A" w:rsidRDefault="0042228A" w:rsidP="00E933B5">
      <w:pPr>
        <w:spacing w:after="0" w:line="240" w:lineRule="auto"/>
        <w:contextualSpacing/>
        <w:rPr>
          <w:sz w:val="20"/>
          <w:szCs w:val="20"/>
        </w:rPr>
      </w:pPr>
    </w:p>
    <w:p w:rsidR="0042228A" w:rsidRDefault="0042228A" w:rsidP="00E933B5">
      <w:pPr>
        <w:spacing w:after="0" w:line="240" w:lineRule="auto"/>
        <w:contextualSpacing/>
        <w:rPr>
          <w:sz w:val="20"/>
          <w:szCs w:val="20"/>
        </w:rPr>
      </w:pPr>
      <w:r w:rsidRPr="0042228A">
        <w:rPr>
          <w:sz w:val="20"/>
          <w:szCs w:val="20"/>
        </w:rPr>
        <w:t xml:space="preserve">This procedure shall apply to all </w:t>
      </w:r>
      <w:r w:rsidR="00F73659">
        <w:rPr>
          <w:sz w:val="20"/>
          <w:szCs w:val="20"/>
        </w:rPr>
        <w:t>Agency</w:t>
      </w:r>
      <w:r w:rsidRPr="0042228A">
        <w:rPr>
          <w:sz w:val="20"/>
          <w:szCs w:val="20"/>
        </w:rPr>
        <w:t xml:space="preserve"> personnel.</w:t>
      </w:r>
    </w:p>
    <w:p w:rsidR="00E933B5" w:rsidRPr="0042228A" w:rsidRDefault="00E933B5" w:rsidP="00E933B5">
      <w:pPr>
        <w:spacing w:after="0" w:line="240" w:lineRule="auto"/>
        <w:contextualSpacing/>
        <w:rPr>
          <w:sz w:val="20"/>
          <w:szCs w:val="20"/>
        </w:rPr>
      </w:pPr>
    </w:p>
    <w:tbl>
      <w:tblPr>
        <w:tblStyle w:val="TableGrid"/>
        <w:tblW w:w="0" w:type="auto"/>
        <w:tblLook w:val="04A0" w:firstRow="1" w:lastRow="0" w:firstColumn="1" w:lastColumn="0" w:noHBand="0" w:noVBand="1"/>
      </w:tblPr>
      <w:tblGrid>
        <w:gridCol w:w="9576"/>
      </w:tblGrid>
      <w:tr w:rsidR="0042228A" w:rsidTr="0042228A">
        <w:tc>
          <w:tcPr>
            <w:tcW w:w="9576" w:type="dxa"/>
          </w:tcPr>
          <w:p w:rsidR="0042228A" w:rsidRPr="0042228A" w:rsidRDefault="0042228A" w:rsidP="0042228A">
            <w:pPr>
              <w:contextualSpacing/>
              <w:jc w:val="center"/>
              <w:rPr>
                <w:b/>
                <w:sz w:val="28"/>
                <w:szCs w:val="28"/>
              </w:rPr>
            </w:pPr>
            <w:r>
              <w:rPr>
                <w:b/>
                <w:sz w:val="28"/>
                <w:szCs w:val="28"/>
              </w:rPr>
              <w:t>Discussion</w:t>
            </w:r>
          </w:p>
        </w:tc>
      </w:tr>
    </w:tbl>
    <w:p w:rsidR="00882C9C" w:rsidRPr="0042228A" w:rsidRDefault="00882C9C" w:rsidP="0042228A">
      <w:pPr>
        <w:spacing w:after="0" w:line="240" w:lineRule="auto"/>
        <w:contextualSpacing/>
        <w:rPr>
          <w:sz w:val="20"/>
          <w:szCs w:val="20"/>
        </w:rPr>
      </w:pPr>
    </w:p>
    <w:p w:rsidR="00625E6E" w:rsidRDefault="00625E6E" w:rsidP="00E933B5">
      <w:pPr>
        <w:spacing w:after="0" w:line="240" w:lineRule="auto"/>
        <w:contextualSpacing/>
        <w:jc w:val="both"/>
        <w:rPr>
          <w:sz w:val="20"/>
          <w:szCs w:val="20"/>
        </w:rPr>
      </w:pPr>
      <w:r w:rsidRPr="00625E6E">
        <w:rPr>
          <w:sz w:val="20"/>
          <w:szCs w:val="20"/>
        </w:rPr>
        <w:t xml:space="preserve">The overriding goal of this policy is to 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Pr="00E933B5">
        <w:rPr>
          <w:b/>
          <w:color w:val="FF0000"/>
          <w:sz w:val="20"/>
          <w:szCs w:val="20"/>
        </w:rPr>
        <w:t>AGENCY NAME</w:t>
      </w:r>
      <w:r w:rsidR="00F73659" w:rsidRPr="00F73659">
        <w:rPr>
          <w:b/>
          <w:sz w:val="20"/>
          <w:szCs w:val="20"/>
        </w:rPr>
        <w:t>.</w:t>
      </w:r>
      <w:r w:rsidRPr="00E933B5">
        <w:rPr>
          <w:color w:val="FF0000"/>
          <w:sz w:val="20"/>
          <w:szCs w:val="20"/>
        </w:rPr>
        <w:t xml:space="preserve"> </w:t>
      </w:r>
      <w:r w:rsidRPr="00625E6E">
        <w:rPr>
          <w:sz w:val="20"/>
          <w:szCs w:val="20"/>
        </w:rPr>
        <w:t>The Agency shall adhere, at a minimum, to the CJIS Security Policy. While the Agency may augment or increase the s</w:t>
      </w:r>
      <w:bookmarkStart w:id="2" w:name="_GoBack"/>
      <w:bookmarkEnd w:id="2"/>
      <w:r w:rsidRPr="00625E6E">
        <w:rPr>
          <w:sz w:val="20"/>
          <w:szCs w:val="20"/>
        </w:rPr>
        <w:t>tandards, it cannot detract from the minimum requirements set forth by the FBI CJIS Security Policy.</w:t>
      </w:r>
    </w:p>
    <w:p w:rsidR="00E933B5" w:rsidRPr="00625E6E" w:rsidRDefault="00E933B5" w:rsidP="00E933B5">
      <w:pPr>
        <w:spacing w:after="0" w:line="240" w:lineRule="auto"/>
        <w:contextualSpacing/>
        <w:rPr>
          <w:sz w:val="20"/>
          <w:szCs w:val="20"/>
        </w:rPr>
      </w:pPr>
    </w:p>
    <w:tbl>
      <w:tblPr>
        <w:tblStyle w:val="TableGrid"/>
        <w:tblW w:w="0" w:type="auto"/>
        <w:tblLook w:val="04A0" w:firstRow="1" w:lastRow="0" w:firstColumn="1" w:lastColumn="0" w:noHBand="0" w:noVBand="1"/>
      </w:tblPr>
      <w:tblGrid>
        <w:gridCol w:w="9576"/>
      </w:tblGrid>
      <w:tr w:rsidR="00625E6E" w:rsidTr="00625E6E">
        <w:tc>
          <w:tcPr>
            <w:tcW w:w="9576" w:type="dxa"/>
          </w:tcPr>
          <w:p w:rsidR="00625E6E" w:rsidRPr="00625E6E" w:rsidRDefault="00625E6E" w:rsidP="00625E6E">
            <w:pPr>
              <w:jc w:val="center"/>
              <w:rPr>
                <w:b/>
                <w:sz w:val="28"/>
                <w:szCs w:val="28"/>
              </w:rPr>
            </w:pPr>
            <w:r>
              <w:rPr>
                <w:b/>
                <w:sz w:val="28"/>
                <w:szCs w:val="28"/>
              </w:rPr>
              <w:t>Procedures</w:t>
            </w:r>
          </w:p>
        </w:tc>
      </w:tr>
    </w:tbl>
    <w:p w:rsidR="00E933B5" w:rsidRDefault="00BD4DA1" w:rsidP="00E933B5">
      <w:pPr>
        <w:jc w:val="both"/>
        <w:rPr>
          <w:sz w:val="20"/>
          <w:szCs w:val="20"/>
        </w:rPr>
      </w:pPr>
      <w:r>
        <w:rPr>
          <w:sz w:val="20"/>
          <w:szCs w:val="20"/>
        </w:rPr>
        <w:t>All electronic media must be properly sanitized before being transferred from the custody of the Agency. The proper method of sanitization depends on the type of media and the intended disposition of the media.</w:t>
      </w:r>
    </w:p>
    <w:p w:rsidR="00BD4DA1" w:rsidRDefault="00BD4DA1" w:rsidP="00E933B5">
      <w:pPr>
        <w:jc w:val="both"/>
        <w:rPr>
          <w:sz w:val="20"/>
          <w:szCs w:val="20"/>
        </w:rPr>
      </w:pPr>
      <w:r>
        <w:rPr>
          <w:sz w:val="20"/>
          <w:szCs w:val="20"/>
        </w:rPr>
        <w:t>Hard Drives: The Agency will overwrite the hard drive utilizing a three pass wipe. This will ensure that the data on the drive is overwritten with patterns of binary ones and zeros. The sanitization of the hard drive is not complete until the third wipe passes and a verification pass is complete.</w:t>
      </w:r>
    </w:p>
    <w:p w:rsidR="00BD4DA1" w:rsidRDefault="00BD4DA1" w:rsidP="00E933B5">
      <w:pPr>
        <w:jc w:val="both"/>
        <w:rPr>
          <w:sz w:val="20"/>
          <w:szCs w:val="20"/>
        </w:rPr>
      </w:pPr>
      <w:r>
        <w:rPr>
          <w:sz w:val="20"/>
          <w:szCs w:val="20"/>
        </w:rPr>
        <w:t>Destruction of the hard drive will incorporate drilling into the drive. This will be carried out or witnessed by authorized Agency personnel.</w:t>
      </w:r>
    </w:p>
    <w:p w:rsidR="00A306AC" w:rsidRPr="00BD4DA1" w:rsidRDefault="00BD4DA1" w:rsidP="00BD4DA1">
      <w:pPr>
        <w:jc w:val="both"/>
        <w:rPr>
          <w:sz w:val="20"/>
          <w:szCs w:val="20"/>
        </w:rPr>
      </w:pPr>
      <w:r>
        <w:rPr>
          <w:sz w:val="20"/>
          <w:szCs w:val="20"/>
        </w:rPr>
        <w:t>USB drives, floppy disks, rewritable CD-ROMS, zip disks, videotapes and audiotapes will be erased if able and then destroyed by drilling or smashing, witnessed or carried out by authorized Agency personnel.</w:t>
      </w:r>
    </w:p>
    <w:p w:rsidR="00B21F5B" w:rsidRDefault="00B21F5B" w:rsidP="00B21F5B">
      <w:pPr>
        <w:rPr>
          <w:sz w:val="20"/>
          <w:szCs w:val="20"/>
        </w:rPr>
      </w:pPr>
      <w:r>
        <w:rPr>
          <w:sz w:val="20"/>
          <w:szCs w:val="20"/>
        </w:rPr>
        <w:t>POLICY VIOLATION: Any user who violates any portion of this policy will be subject to the standard disciplinary processes in place with the Agency. Sanctions against staff that violate information systems and or security policies may include formal disciplinary action up to and including termination based on offense severity.</w:t>
      </w:r>
    </w:p>
    <w:p w:rsidR="003132CA" w:rsidRPr="00103AD6" w:rsidRDefault="003132CA">
      <w:pPr>
        <w:rPr>
          <w:rFonts w:ascii="Arial" w:hAnsi="Arial" w:cs="Arial"/>
        </w:rPr>
      </w:pPr>
    </w:p>
    <w:sectPr w:rsidR="003132CA" w:rsidRPr="00103AD6"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624" w:rsidRDefault="00291624" w:rsidP="005D2BD2">
      <w:r>
        <w:separator/>
      </w:r>
    </w:p>
  </w:endnote>
  <w:endnote w:type="continuationSeparator" w:id="0">
    <w:p w:rsidR="00291624" w:rsidRDefault="00291624"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291624">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624" w:rsidRDefault="00291624" w:rsidP="005D2BD2">
      <w:r>
        <w:separator/>
      </w:r>
    </w:p>
  </w:footnote>
  <w:footnote w:type="continuationSeparator" w:id="0">
    <w:p w:rsidR="00291624" w:rsidRDefault="00291624"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r w:rsidRPr="001B58E0">
      <w:rPr>
        <w:rFonts w:ascii="Arial" w:hAnsi="Arial" w:cs="Arial"/>
        <w:sz w:val="20"/>
      </w:rPr>
      <w:t xml:space="preserve">824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B21F5B">
          <w:rPr>
            <w:rFonts w:ascii="Arial" w:hAnsi="Arial" w:cs="Arial"/>
            <w:b/>
            <w:bCs/>
            <w:noProof/>
            <w:sz w:val="20"/>
          </w:rPr>
          <w:t>2</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B21F5B">
          <w:rPr>
            <w:rFonts w:ascii="Arial" w:hAnsi="Arial" w:cs="Arial"/>
            <w:b/>
            <w:bCs/>
            <w:noProof/>
            <w:sz w:val="20"/>
          </w:rPr>
          <w:t>2</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B33AD"/>
    <w:multiLevelType w:val="hybridMultilevel"/>
    <w:tmpl w:val="7948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1C7A"/>
    <w:multiLevelType w:val="hybridMultilevel"/>
    <w:tmpl w:val="4C6A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FF5C8E"/>
    <w:multiLevelType w:val="hybridMultilevel"/>
    <w:tmpl w:val="D908C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1"/>
  </w:num>
  <w:num w:numId="3">
    <w:abstractNumId w:val="6"/>
  </w:num>
  <w:num w:numId="4">
    <w:abstractNumId w:val="7"/>
  </w:num>
  <w:num w:numId="5">
    <w:abstractNumId w:val="8"/>
  </w:num>
  <w:num w:numId="6">
    <w:abstractNumId w:val="16"/>
  </w:num>
  <w:num w:numId="7">
    <w:abstractNumId w:val="15"/>
  </w:num>
  <w:num w:numId="8">
    <w:abstractNumId w:val="17"/>
  </w:num>
  <w:num w:numId="9">
    <w:abstractNumId w:val="4"/>
  </w:num>
  <w:num w:numId="10">
    <w:abstractNumId w:val="2"/>
  </w:num>
  <w:num w:numId="11">
    <w:abstractNumId w:val="10"/>
  </w:num>
  <w:num w:numId="12">
    <w:abstractNumId w:val="0"/>
  </w:num>
  <w:num w:numId="13">
    <w:abstractNumId w:val="14"/>
  </w:num>
  <w:num w:numId="14">
    <w:abstractNumId w:val="12"/>
  </w:num>
  <w:num w:numId="15">
    <w:abstractNumId w:val="5"/>
  </w:num>
  <w:num w:numId="16">
    <w:abstractNumId w:val="3"/>
  </w:num>
  <w:num w:numId="17">
    <w:abstractNumId w:val="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042BC"/>
    <w:rsid w:val="00020C16"/>
    <w:rsid w:val="00034047"/>
    <w:rsid w:val="00036142"/>
    <w:rsid w:val="000825EF"/>
    <w:rsid w:val="0010024E"/>
    <w:rsid w:val="00103AD6"/>
    <w:rsid w:val="001266B7"/>
    <w:rsid w:val="001B58E0"/>
    <w:rsid w:val="001E000B"/>
    <w:rsid w:val="001F2728"/>
    <w:rsid w:val="00226572"/>
    <w:rsid w:val="00273C20"/>
    <w:rsid w:val="00291624"/>
    <w:rsid w:val="00297239"/>
    <w:rsid w:val="00310CF0"/>
    <w:rsid w:val="003132CA"/>
    <w:rsid w:val="0031353B"/>
    <w:rsid w:val="00347929"/>
    <w:rsid w:val="00373447"/>
    <w:rsid w:val="003845C9"/>
    <w:rsid w:val="00416319"/>
    <w:rsid w:val="0042228A"/>
    <w:rsid w:val="004749BC"/>
    <w:rsid w:val="004760C6"/>
    <w:rsid w:val="004D1917"/>
    <w:rsid w:val="00525BE5"/>
    <w:rsid w:val="00553695"/>
    <w:rsid w:val="005C31CF"/>
    <w:rsid w:val="005D2BD2"/>
    <w:rsid w:val="006154A7"/>
    <w:rsid w:val="00622FAD"/>
    <w:rsid w:val="00625E6E"/>
    <w:rsid w:val="00631563"/>
    <w:rsid w:val="00637016"/>
    <w:rsid w:val="00641381"/>
    <w:rsid w:val="00671E4B"/>
    <w:rsid w:val="00681653"/>
    <w:rsid w:val="00682007"/>
    <w:rsid w:val="006E515F"/>
    <w:rsid w:val="00704E54"/>
    <w:rsid w:val="0071652D"/>
    <w:rsid w:val="00744EE3"/>
    <w:rsid w:val="007457E1"/>
    <w:rsid w:val="007A121F"/>
    <w:rsid w:val="007B6372"/>
    <w:rsid w:val="00882C9C"/>
    <w:rsid w:val="008F3445"/>
    <w:rsid w:val="00946CBE"/>
    <w:rsid w:val="00957BDE"/>
    <w:rsid w:val="00977100"/>
    <w:rsid w:val="00A306AC"/>
    <w:rsid w:val="00A37247"/>
    <w:rsid w:val="00A5431C"/>
    <w:rsid w:val="00A7349B"/>
    <w:rsid w:val="00AC3922"/>
    <w:rsid w:val="00AC5708"/>
    <w:rsid w:val="00AC73ED"/>
    <w:rsid w:val="00B21F5B"/>
    <w:rsid w:val="00BC17DB"/>
    <w:rsid w:val="00BD4DA1"/>
    <w:rsid w:val="00BE470C"/>
    <w:rsid w:val="00BF15DC"/>
    <w:rsid w:val="00CA1D37"/>
    <w:rsid w:val="00CC0D63"/>
    <w:rsid w:val="00CF7DD3"/>
    <w:rsid w:val="00D0432A"/>
    <w:rsid w:val="00D24D0B"/>
    <w:rsid w:val="00E206CC"/>
    <w:rsid w:val="00E933B5"/>
    <w:rsid w:val="00E953AB"/>
    <w:rsid w:val="00EA5FAF"/>
    <w:rsid w:val="00EA7508"/>
    <w:rsid w:val="00EB0BE0"/>
    <w:rsid w:val="00F34E82"/>
    <w:rsid w:val="00F73659"/>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28A"/>
  </w:style>
  <w:style w:type="paragraph" w:styleId="Heading1">
    <w:name w:val="heading 1"/>
    <w:basedOn w:val="Normal"/>
    <w:next w:val="Normal"/>
    <w:link w:val="Heading1Char"/>
    <w:uiPriority w:val="9"/>
    <w:qFormat/>
    <w:rsid w:val="004222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222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2228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2228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2228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2228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2228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2228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42228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42228A"/>
    <w:pPr>
      <w:ind w:left="720"/>
      <w:contextualSpacing/>
    </w:pPr>
  </w:style>
  <w:style w:type="character" w:customStyle="1" w:styleId="Heading1Char">
    <w:name w:val="Heading 1 Char"/>
    <w:basedOn w:val="DefaultParagraphFont"/>
    <w:link w:val="Heading1"/>
    <w:uiPriority w:val="9"/>
    <w:rsid w:val="0042228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42228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2228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2228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2228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2228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2228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2228A"/>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42228A"/>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2228A"/>
    <w:pPr>
      <w:spacing w:line="240" w:lineRule="auto"/>
    </w:pPr>
    <w:rPr>
      <w:b/>
      <w:bCs/>
      <w:color w:val="4F81BD" w:themeColor="accent1"/>
      <w:sz w:val="18"/>
      <w:szCs w:val="18"/>
    </w:rPr>
  </w:style>
  <w:style w:type="paragraph" w:styleId="Title">
    <w:name w:val="Title"/>
    <w:basedOn w:val="Normal"/>
    <w:next w:val="Normal"/>
    <w:link w:val="TitleChar"/>
    <w:uiPriority w:val="10"/>
    <w:qFormat/>
    <w:rsid w:val="004222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2228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2228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2228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42228A"/>
    <w:rPr>
      <w:b/>
      <w:bCs/>
    </w:rPr>
  </w:style>
  <w:style w:type="character" w:styleId="Emphasis">
    <w:name w:val="Emphasis"/>
    <w:basedOn w:val="DefaultParagraphFont"/>
    <w:uiPriority w:val="20"/>
    <w:qFormat/>
    <w:rsid w:val="0042228A"/>
    <w:rPr>
      <w:i/>
      <w:iCs/>
    </w:rPr>
  </w:style>
  <w:style w:type="paragraph" w:styleId="NoSpacing">
    <w:name w:val="No Spacing"/>
    <w:uiPriority w:val="1"/>
    <w:qFormat/>
    <w:rsid w:val="0042228A"/>
    <w:pPr>
      <w:spacing w:after="0" w:line="240" w:lineRule="auto"/>
    </w:pPr>
  </w:style>
  <w:style w:type="paragraph" w:styleId="Quote">
    <w:name w:val="Quote"/>
    <w:basedOn w:val="Normal"/>
    <w:next w:val="Normal"/>
    <w:link w:val="QuoteChar"/>
    <w:uiPriority w:val="29"/>
    <w:qFormat/>
    <w:rsid w:val="0042228A"/>
    <w:rPr>
      <w:i/>
      <w:iCs/>
      <w:color w:val="000000" w:themeColor="text1"/>
    </w:rPr>
  </w:style>
  <w:style w:type="character" w:customStyle="1" w:styleId="QuoteChar">
    <w:name w:val="Quote Char"/>
    <w:basedOn w:val="DefaultParagraphFont"/>
    <w:link w:val="Quote"/>
    <w:uiPriority w:val="29"/>
    <w:rsid w:val="0042228A"/>
    <w:rPr>
      <w:i/>
      <w:iCs/>
      <w:color w:val="000000" w:themeColor="text1"/>
    </w:rPr>
  </w:style>
  <w:style w:type="paragraph" w:styleId="IntenseQuote">
    <w:name w:val="Intense Quote"/>
    <w:basedOn w:val="Normal"/>
    <w:next w:val="Normal"/>
    <w:link w:val="IntenseQuoteChar"/>
    <w:uiPriority w:val="30"/>
    <w:qFormat/>
    <w:rsid w:val="004222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2228A"/>
    <w:rPr>
      <w:b/>
      <w:bCs/>
      <w:i/>
      <w:iCs/>
      <w:color w:val="4F81BD" w:themeColor="accent1"/>
    </w:rPr>
  </w:style>
  <w:style w:type="character" w:styleId="SubtleEmphasis">
    <w:name w:val="Subtle Emphasis"/>
    <w:basedOn w:val="DefaultParagraphFont"/>
    <w:uiPriority w:val="19"/>
    <w:qFormat/>
    <w:rsid w:val="0042228A"/>
    <w:rPr>
      <w:i/>
      <w:iCs/>
      <w:color w:val="808080" w:themeColor="text1" w:themeTint="7F"/>
    </w:rPr>
  </w:style>
  <w:style w:type="character" w:styleId="IntenseEmphasis">
    <w:name w:val="Intense Emphasis"/>
    <w:basedOn w:val="DefaultParagraphFont"/>
    <w:uiPriority w:val="21"/>
    <w:qFormat/>
    <w:rsid w:val="0042228A"/>
    <w:rPr>
      <w:b/>
      <w:bCs/>
      <w:i/>
      <w:iCs/>
      <w:color w:val="4F81BD" w:themeColor="accent1"/>
    </w:rPr>
  </w:style>
  <w:style w:type="character" w:styleId="SubtleReference">
    <w:name w:val="Subtle Reference"/>
    <w:basedOn w:val="DefaultParagraphFont"/>
    <w:uiPriority w:val="31"/>
    <w:qFormat/>
    <w:rsid w:val="0042228A"/>
    <w:rPr>
      <w:smallCaps/>
      <w:color w:val="C0504D" w:themeColor="accent2"/>
      <w:u w:val="single"/>
    </w:rPr>
  </w:style>
  <w:style w:type="character" w:styleId="IntenseReference">
    <w:name w:val="Intense Reference"/>
    <w:basedOn w:val="DefaultParagraphFont"/>
    <w:uiPriority w:val="32"/>
    <w:qFormat/>
    <w:rsid w:val="0042228A"/>
    <w:rPr>
      <w:b/>
      <w:bCs/>
      <w:smallCaps/>
      <w:color w:val="C0504D" w:themeColor="accent2"/>
      <w:spacing w:val="5"/>
      <w:u w:val="single"/>
    </w:rPr>
  </w:style>
  <w:style w:type="character" w:styleId="BookTitle">
    <w:name w:val="Book Title"/>
    <w:basedOn w:val="DefaultParagraphFont"/>
    <w:uiPriority w:val="33"/>
    <w:qFormat/>
    <w:rsid w:val="0042228A"/>
    <w:rPr>
      <w:b/>
      <w:bCs/>
      <w:smallCaps/>
      <w:spacing w:val="5"/>
    </w:rPr>
  </w:style>
  <w:style w:type="paragraph" w:styleId="TOCHeading">
    <w:name w:val="TOC Heading"/>
    <w:basedOn w:val="Heading1"/>
    <w:next w:val="Normal"/>
    <w:uiPriority w:val="39"/>
    <w:semiHidden/>
    <w:unhideWhenUsed/>
    <w:qFormat/>
    <w:rsid w:val="0042228A"/>
    <w:pPr>
      <w:outlineLvl w:val="9"/>
    </w:pPr>
  </w:style>
  <w:style w:type="table" w:styleId="TableGrid">
    <w:name w:val="Table Grid"/>
    <w:basedOn w:val="TableNormal"/>
    <w:uiPriority w:val="59"/>
    <w:rsid w:val="00422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 w:id="17971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7A697-9840-4530-9B2C-F75188D87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2016-08-15T20:38:00Z</dcterms:created>
  <dcterms:modified xsi:type="dcterms:W3CDTF">2016-08-16T13:38:00Z</dcterms:modified>
</cp:coreProperties>
</file>