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D5209A">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3D5FA5">
                              <w:rPr>
                                <w:rFonts w:ascii="Arial" w:hAnsi="Arial" w:cs="Arial"/>
                                <w:b/>
                              </w:rPr>
                              <w:t>Incident Response</w:t>
                            </w:r>
                            <w:r w:rsidR="00433C32">
                              <w:rPr>
                                <w:rFonts w:ascii="Arial" w:hAnsi="Arial" w:cs="Arial"/>
                                <w:b/>
                              </w:rPr>
                              <w:t xml:space="preserve"> Including Mobile Devices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3D5FA5">
                        <w:rPr>
                          <w:rFonts w:ascii="Arial" w:hAnsi="Arial" w:cs="Arial"/>
                          <w:b/>
                        </w:rPr>
                        <w:t>Incident Response</w:t>
                      </w:r>
                      <w:r w:rsidR="00433C32">
                        <w:rPr>
                          <w:rFonts w:ascii="Arial" w:hAnsi="Arial" w:cs="Arial"/>
                          <w:b/>
                        </w:rPr>
                        <w:t xml:space="preserve"> Including Mobile Devices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D5209A" w:rsidRDefault="00D5209A" w:rsidP="0042228A">
      <w:pPr>
        <w:rPr>
          <w:sz w:val="20"/>
          <w:szCs w:val="20"/>
        </w:rPr>
      </w:pPr>
    </w:p>
    <w:p w:rsidR="00D5209A" w:rsidRDefault="00D5209A" w:rsidP="0042228A">
      <w:pPr>
        <w:rPr>
          <w:sz w:val="20"/>
          <w:szCs w:val="20"/>
        </w:rPr>
      </w:pPr>
    </w:p>
    <w:p w:rsidR="0042228A" w:rsidRPr="0042228A" w:rsidRDefault="003D5FA5" w:rsidP="0042228A">
      <w:pPr>
        <w:rPr>
          <w:sz w:val="20"/>
          <w:szCs w:val="20"/>
        </w:rPr>
      </w:pPr>
      <w:r>
        <w:rPr>
          <w:sz w:val="20"/>
          <w:szCs w:val="20"/>
        </w:rPr>
        <w:t xml:space="preserve">The purpose of this policy is to detail the actions of users for reporting or responding to security incidents involving </w:t>
      </w:r>
      <w:r w:rsidRPr="003D5FA5">
        <w:rPr>
          <w:b/>
          <w:color w:val="FF0000"/>
          <w:sz w:val="20"/>
          <w:szCs w:val="20"/>
        </w:rPr>
        <w:t>AGENCY NAME</w:t>
      </w:r>
      <w:r w:rsidRPr="003D5FA5">
        <w:rPr>
          <w:color w:val="FF0000"/>
          <w:sz w:val="20"/>
          <w:szCs w:val="20"/>
        </w:rPr>
        <w:t xml:space="preserve"> </w:t>
      </w:r>
      <w:r>
        <w:rPr>
          <w:sz w:val="20"/>
          <w:szCs w:val="20"/>
        </w:rPr>
        <w:t>to ensure effective and consistent reporting and handling of events.</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D5209A">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3D5FA5">
        <w:rPr>
          <w:b/>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3D5FA5" w:rsidP="001266B7">
      <w:pPr>
        <w:rPr>
          <w:sz w:val="20"/>
          <w:szCs w:val="20"/>
        </w:rPr>
      </w:pPr>
      <w:r>
        <w:rPr>
          <w:sz w:val="20"/>
          <w:szCs w:val="20"/>
        </w:rPr>
        <w:t>All users are responsible for reporting known or suspected information or information technology security incidents. All incidents must be reported immediately to the Agency LASO. The LASO will inform a member of IT and document the incident.</w:t>
      </w:r>
    </w:p>
    <w:p w:rsidR="003D5FA5" w:rsidRDefault="003D5FA5" w:rsidP="001266B7">
      <w:pPr>
        <w:rPr>
          <w:sz w:val="20"/>
          <w:szCs w:val="20"/>
        </w:rPr>
      </w:pPr>
      <w:r>
        <w:rPr>
          <w:sz w:val="20"/>
          <w:szCs w:val="20"/>
        </w:rPr>
        <w:t xml:space="preserve">If a suspected incident occurs on a user’s mobile device, the user shall not turn off the device. The user will leave the device on and report the incident. A member of IT will look over the device and determine if the incident is contained to the one device or if it is within the Agency system. </w:t>
      </w:r>
    </w:p>
    <w:p w:rsidR="003D5FA5" w:rsidRDefault="003D5FA5" w:rsidP="001266B7">
      <w:pPr>
        <w:rPr>
          <w:sz w:val="20"/>
          <w:szCs w:val="20"/>
        </w:rPr>
      </w:pPr>
      <w:r>
        <w:rPr>
          <w:sz w:val="20"/>
          <w:szCs w:val="20"/>
        </w:rPr>
        <w:t>The agency will employ Kaspersky Antivirus on all desktop and laptop devices and will ensure that the antivirus software is up-to-date.</w:t>
      </w:r>
    </w:p>
    <w:p w:rsidR="003D5FA5" w:rsidRPr="0042228A" w:rsidRDefault="00A022D7" w:rsidP="001266B7">
      <w:pPr>
        <w:rPr>
          <w:sz w:val="20"/>
          <w:szCs w:val="20"/>
        </w:rPr>
      </w:pPr>
      <w:r>
        <w:rPr>
          <w:sz w:val="20"/>
          <w:szCs w:val="20"/>
        </w:rPr>
        <w:t>Incident response will be managed based on the level of severity of the incident. The level is a measure of its impact or threat on the operation or integrity of the Agency and its’ information. High Level (potential to impact the network or criminal justice information) Medium Level (potential to impact one system or non-critical system) Low Level (has little or no risk of infecting a criminal justice system).</w:t>
      </w:r>
    </w:p>
    <w:p w:rsidR="001266B7" w:rsidRPr="00E660E3" w:rsidRDefault="00E660E3" w:rsidP="001266B7">
      <w:pPr>
        <w:rPr>
          <w:sz w:val="20"/>
          <w:szCs w:val="20"/>
        </w:rPr>
      </w:pPr>
      <w:r w:rsidRPr="00E660E3">
        <w:rPr>
          <w:sz w:val="20"/>
          <w:szCs w:val="20"/>
        </w:rPr>
        <w:t>If the level is moved to High, the LASO will notify FDLE immediately.</w:t>
      </w:r>
    </w:p>
    <w:p w:rsidR="00E660E3" w:rsidRPr="00E660E3" w:rsidRDefault="00E660E3" w:rsidP="001266B7">
      <w:pPr>
        <w:rPr>
          <w:sz w:val="20"/>
          <w:szCs w:val="20"/>
        </w:rPr>
      </w:pPr>
      <w:r w:rsidRPr="00E660E3">
        <w:rPr>
          <w:sz w:val="20"/>
          <w:szCs w:val="20"/>
        </w:rPr>
        <w:t xml:space="preserve">All Security Incidents will be documented on a security incident reporting form, kept by the LASO and retained for no less than a three year period. </w:t>
      </w:r>
    </w:p>
    <w:p w:rsidR="003132CA" w:rsidRPr="00D5209A" w:rsidRDefault="00756699">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bookmarkStart w:id="2" w:name="_GoBack"/>
      <w:bookmarkEnd w:id="2"/>
    </w:p>
    <w:sectPr w:rsidR="003132CA" w:rsidRPr="00D5209A"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385" w:rsidRDefault="00212385" w:rsidP="005D2BD2">
      <w:r>
        <w:separator/>
      </w:r>
    </w:p>
  </w:endnote>
  <w:endnote w:type="continuationSeparator" w:id="0">
    <w:p w:rsidR="00212385" w:rsidRDefault="00212385"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212385">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385" w:rsidRDefault="00212385" w:rsidP="005D2BD2">
      <w:r>
        <w:separator/>
      </w:r>
    </w:p>
  </w:footnote>
  <w:footnote w:type="continuationSeparator" w:id="0">
    <w:p w:rsidR="00212385" w:rsidRDefault="00212385"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D5209A">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D5209A">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266B7"/>
    <w:rsid w:val="001A27AE"/>
    <w:rsid w:val="001B58E0"/>
    <w:rsid w:val="001E000B"/>
    <w:rsid w:val="001F2728"/>
    <w:rsid w:val="00212385"/>
    <w:rsid w:val="00226572"/>
    <w:rsid w:val="00273C20"/>
    <w:rsid w:val="00297239"/>
    <w:rsid w:val="00310CF0"/>
    <w:rsid w:val="003132CA"/>
    <w:rsid w:val="0031353B"/>
    <w:rsid w:val="00347929"/>
    <w:rsid w:val="00373447"/>
    <w:rsid w:val="003845C9"/>
    <w:rsid w:val="003D5FA5"/>
    <w:rsid w:val="0042228A"/>
    <w:rsid w:val="00433C32"/>
    <w:rsid w:val="004760C6"/>
    <w:rsid w:val="004D1917"/>
    <w:rsid w:val="00525BE5"/>
    <w:rsid w:val="00553695"/>
    <w:rsid w:val="005C31CF"/>
    <w:rsid w:val="005D2BD2"/>
    <w:rsid w:val="006154A7"/>
    <w:rsid w:val="00622FAD"/>
    <w:rsid w:val="00625E6E"/>
    <w:rsid w:val="00631563"/>
    <w:rsid w:val="00637016"/>
    <w:rsid w:val="00671E4B"/>
    <w:rsid w:val="00681653"/>
    <w:rsid w:val="00682007"/>
    <w:rsid w:val="006E515F"/>
    <w:rsid w:val="00704E54"/>
    <w:rsid w:val="0071652D"/>
    <w:rsid w:val="00744EE3"/>
    <w:rsid w:val="00756699"/>
    <w:rsid w:val="007A121F"/>
    <w:rsid w:val="007B6372"/>
    <w:rsid w:val="00882C9C"/>
    <w:rsid w:val="008F3445"/>
    <w:rsid w:val="00946CBE"/>
    <w:rsid w:val="00957BDE"/>
    <w:rsid w:val="00977100"/>
    <w:rsid w:val="00A022D7"/>
    <w:rsid w:val="00A07FD3"/>
    <w:rsid w:val="00A306AC"/>
    <w:rsid w:val="00A37247"/>
    <w:rsid w:val="00A5431C"/>
    <w:rsid w:val="00A7349B"/>
    <w:rsid w:val="00A75D54"/>
    <w:rsid w:val="00AC5708"/>
    <w:rsid w:val="00AC73ED"/>
    <w:rsid w:val="00BC17DB"/>
    <w:rsid w:val="00BD7343"/>
    <w:rsid w:val="00BF15DC"/>
    <w:rsid w:val="00BF7E95"/>
    <w:rsid w:val="00CA1D37"/>
    <w:rsid w:val="00CC0D63"/>
    <w:rsid w:val="00CF7DD3"/>
    <w:rsid w:val="00D0432A"/>
    <w:rsid w:val="00D07F42"/>
    <w:rsid w:val="00D264B8"/>
    <w:rsid w:val="00D5209A"/>
    <w:rsid w:val="00DD1B0C"/>
    <w:rsid w:val="00E206CC"/>
    <w:rsid w:val="00E660E3"/>
    <w:rsid w:val="00E953AB"/>
    <w:rsid w:val="00EA5FAF"/>
    <w:rsid w:val="00EA7508"/>
    <w:rsid w:val="00EB0BE0"/>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39879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7ED35-80E7-43B9-85E6-F16CC0E0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2016-08-15T20:39:00Z</dcterms:created>
  <dcterms:modified xsi:type="dcterms:W3CDTF">2016-08-16T13:39:00Z</dcterms:modified>
</cp:coreProperties>
</file>