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12" w:rsidRDefault="00046E18" w:rsidP="00315A3A">
      <w:pPr>
        <w:tabs>
          <w:tab w:val="left" w:pos="6120"/>
        </w:tabs>
        <w:rPr>
          <w:rFonts w:ascii="Arial Narrow" w:hAnsi="Arial Narrow"/>
          <w:sz w:val="22"/>
          <w:szCs w:val="22"/>
        </w:rPr>
      </w:pPr>
      <w:r>
        <w:rPr>
          <w:noProof/>
        </w:rPr>
        <mc:AlternateContent>
          <mc:Choice Requires="wps">
            <w:drawing>
              <wp:anchor distT="0" distB="0" distL="114300" distR="114300" simplePos="0" relativeHeight="251659264" behindDoc="0" locked="0" layoutInCell="1" allowOverlap="1" wp14:anchorId="60BB724C" wp14:editId="121CBA69">
                <wp:simplePos x="0" y="0"/>
                <wp:positionH relativeFrom="column">
                  <wp:posOffset>-415290</wp:posOffset>
                </wp:positionH>
                <wp:positionV relativeFrom="paragraph">
                  <wp:posOffset>-203200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046E18" w:rsidRPr="004D6912" w:rsidRDefault="00046E18" w:rsidP="002C4B85">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7pt;margin-top:-16pt;width:523.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" filled="f" stroked="f">
                <v:textbox>
                  <w:txbxContent>
                    <w:p w:rsidR="00046E18" w:rsidRPr="004D6912" w:rsidRDefault="00046E18" w:rsidP="002C4B85">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315A3A">
      <w:pPr>
        <w:tabs>
          <w:tab w:val="left" w:pos="6120"/>
        </w:tabs>
        <w:rPr>
          <w:rFonts w:ascii="Arial Narrow" w:hAnsi="Arial Narrow"/>
          <w:sz w:val="22"/>
          <w:szCs w:val="22"/>
        </w:rPr>
      </w:pPr>
    </w:p>
    <w:p w:rsidR="007349CC" w:rsidRDefault="007349CC" w:rsidP="00315A3A">
      <w:pPr>
        <w:tabs>
          <w:tab w:val="left" w:pos="6120"/>
        </w:tabs>
        <w:rPr>
          <w:rFonts w:ascii="Arial Narrow" w:hAnsi="Arial Narrow"/>
          <w:sz w:val="22"/>
          <w:szCs w:val="22"/>
        </w:rPr>
      </w:pPr>
    </w:p>
    <w:p w:rsidR="00315A3A" w:rsidRPr="00E72B65" w:rsidRDefault="00046E18" w:rsidP="00315A3A">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noProof/>
        </w:rPr>
        <mc:AlternateContent>
          <mc:Choice Requires="wps">
            <w:drawing>
              <wp:anchor distT="0" distB="0" distL="114300" distR="114300" simplePos="0" relativeHeight="251661312" behindDoc="0" locked="0" layoutInCell="1" allowOverlap="1" wp14:anchorId="32892C4D" wp14:editId="537563C8">
                <wp:simplePos x="0" y="0"/>
                <wp:positionH relativeFrom="column">
                  <wp:posOffset>2606040</wp:posOffset>
                </wp:positionH>
                <wp:positionV relativeFrom="paragraph">
                  <wp:posOffset>-35560</wp:posOffset>
                </wp:positionV>
                <wp:extent cx="260604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606040" cy="1828800"/>
                        </a:xfrm>
                        <a:prstGeom prst="rect">
                          <a:avLst/>
                        </a:prstGeom>
                        <a:noFill/>
                        <a:ln>
                          <a:noFill/>
                        </a:ln>
                        <a:effectLst/>
                      </wps:spPr>
                      <wps:txbx>
                        <w:txbxContent>
                          <w:p w:rsidR="00046E18" w:rsidRPr="00E72B65" w:rsidRDefault="00046E1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#64</w:t>
                            </w:r>
                          </w:p>
                          <w:p w:rsidR="00046E18" w:rsidRPr="00E72B65" w:rsidRDefault="00046E1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May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05.2pt;margin-top:-2.8pt;width:205.2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" filled="f" stroked="f">
                <v:textbox style="mso-fit-shape-to-text:t">
                  <w:txbxContent>
                    <w:p w:rsidR="00046E18" w:rsidRPr="00E72B65" w:rsidRDefault="00046E1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#64</w:t>
                      </w:r>
                    </w:p>
                    <w:p w:rsidR="00046E18" w:rsidRPr="00E72B65" w:rsidRDefault="00046E1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May 2016</w:t>
                      </w:r>
                    </w:p>
                  </w:txbxContent>
                </v:textbox>
                <w10:wrap type="square"/>
              </v:shape>
            </w:pict>
          </mc:Fallback>
        </mc:AlternateContent>
      </w:r>
    </w:p>
    <w:p w:rsidR="00031468" w:rsidRDefault="00031468" w:rsidP="00315A3A">
      <w:pPr>
        <w:tabs>
          <w:tab w:val="left" w:pos="6120"/>
        </w:tabs>
        <w:rPr>
          <w:rFonts w:ascii="Arial Narrow" w:hAnsi="Arial Narrow"/>
          <w:sz w:val="22"/>
          <w:szCs w:val="22"/>
        </w:rPr>
      </w:pPr>
    </w:p>
    <w:p w:rsidR="00031468" w:rsidRDefault="00031468" w:rsidP="00315A3A">
      <w:pPr>
        <w:tabs>
          <w:tab w:val="left" w:pos="6120"/>
        </w:tabs>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46E18" w:rsidRDefault="00046E18" w:rsidP="00EC1E59">
      <w:pPr>
        <w:tabs>
          <w:tab w:val="left" w:pos="6120"/>
        </w:tabs>
        <w:jc w:val="both"/>
        <w:rPr>
          <w:rFonts w:ascii="Arial" w:hAnsi="Arial" w:cs="Arial"/>
          <w:sz w:val="22"/>
          <w:szCs w:val="22"/>
        </w:rPr>
      </w:pPr>
    </w:p>
    <w:p w:rsidR="00FF404C" w:rsidRPr="00A45961" w:rsidRDefault="00046E18" w:rsidP="00EC1E59">
      <w:pPr>
        <w:tabs>
          <w:tab w:val="left" w:pos="6120"/>
        </w:tabs>
        <w:jc w:val="both"/>
        <w:rPr>
          <w:rFonts w:ascii="Arial" w:hAnsi="Arial" w:cs="Arial"/>
          <w:sz w:val="22"/>
          <w:szCs w:val="22"/>
        </w:rPr>
      </w:pPr>
      <w:r w:rsidRPr="00031468">
        <w:rPr>
          <w:rFonts w:ascii="Times New Roman" w:hAnsi="Times New Roman"/>
          <w:smallCaps/>
          <w:noProof/>
          <w:sz w:val="60"/>
          <w:szCs w:val="60"/>
        </w:rPr>
        <w:drawing>
          <wp:anchor distT="0" distB="0" distL="114300" distR="114300" simplePos="0" relativeHeight="251663360" behindDoc="1" locked="0" layoutInCell="1" allowOverlap="1" wp14:anchorId="360C8931" wp14:editId="19F7F272">
            <wp:simplePos x="0" y="0"/>
            <wp:positionH relativeFrom="column">
              <wp:posOffset>-289560</wp:posOffset>
            </wp:positionH>
            <wp:positionV relativeFrom="paragraph">
              <wp:posOffset>-806450</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4" name="Picture 4"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5E8" w:rsidRPr="00A45961">
        <w:rPr>
          <w:rFonts w:ascii="Arial" w:hAnsi="Arial" w:cs="Arial"/>
          <w:sz w:val="22"/>
          <w:szCs w:val="22"/>
        </w:rPr>
        <w:t>The C</w:t>
      </w:r>
      <w:r w:rsidR="0000472E">
        <w:rPr>
          <w:rFonts w:ascii="Arial" w:hAnsi="Arial" w:cs="Arial"/>
          <w:sz w:val="22"/>
          <w:szCs w:val="22"/>
        </w:rPr>
        <w:t xml:space="preserve">riminal </w:t>
      </w:r>
      <w:r w:rsidR="007825E8" w:rsidRPr="00A45961">
        <w:rPr>
          <w:rFonts w:ascii="Arial" w:hAnsi="Arial" w:cs="Arial"/>
          <w:sz w:val="22"/>
          <w:szCs w:val="22"/>
        </w:rPr>
        <w:t xml:space="preserve">Justice Standards and Training Commission </w:t>
      </w:r>
      <w:proofErr w:type="gramStart"/>
      <w:r w:rsidR="007825E8" w:rsidRPr="00A45961">
        <w:rPr>
          <w:rFonts w:ascii="Arial" w:hAnsi="Arial" w:cs="Arial"/>
          <w:sz w:val="22"/>
          <w:szCs w:val="22"/>
        </w:rPr>
        <w:t>has</w:t>
      </w:r>
      <w:proofErr w:type="gramEnd"/>
      <w:r w:rsidR="007825E8" w:rsidRPr="00A45961">
        <w:rPr>
          <w:rFonts w:ascii="Arial" w:hAnsi="Arial" w:cs="Arial"/>
          <w:sz w:val="22"/>
          <w:szCs w:val="22"/>
        </w:rPr>
        <w:t xml:space="preserve"> as its mission “to ensure that the citizens of the State of Florida are served by the most qualified, well trained, competent and ethical </w:t>
      </w:r>
      <w:r w:rsidR="0000472E">
        <w:rPr>
          <w:rFonts w:ascii="Arial" w:hAnsi="Arial" w:cs="Arial"/>
          <w:sz w:val="22"/>
          <w:szCs w:val="22"/>
        </w:rPr>
        <w:t>criminal</w:t>
      </w:r>
      <w:r w:rsidR="007825E8" w:rsidRPr="00A45961">
        <w:rPr>
          <w:rFonts w:ascii="Arial" w:hAnsi="Arial" w:cs="Arial"/>
          <w:sz w:val="22"/>
          <w:szCs w:val="22"/>
        </w:rPr>
        <w:t xml:space="preserve"> justice officers in the nation”.  The Commission meets quarterly in an open forum to address issues relating to </w:t>
      </w:r>
      <w:r w:rsidR="001D27D2">
        <w:rPr>
          <w:rFonts w:ascii="Arial" w:hAnsi="Arial" w:cs="Arial"/>
          <w:sz w:val="22"/>
          <w:szCs w:val="22"/>
        </w:rPr>
        <w:t>criminal</w:t>
      </w:r>
      <w:r w:rsidR="007825E8" w:rsidRPr="00A45961">
        <w:rPr>
          <w:rFonts w:ascii="Arial" w:hAnsi="Arial" w:cs="Arial"/>
          <w:sz w:val="22"/>
          <w:szCs w:val="22"/>
        </w:rPr>
        <w:t xml:space="preserve"> justice.  As a part of these quarterly meetings, cases regarding officer misconduct are reviewed and action is taken against the officer’s </w:t>
      </w:r>
      <w:r w:rsidR="001D27D2">
        <w:rPr>
          <w:rFonts w:ascii="Arial" w:hAnsi="Arial" w:cs="Arial"/>
          <w:sz w:val="22"/>
          <w:szCs w:val="22"/>
        </w:rPr>
        <w:t>criminal</w:t>
      </w:r>
      <w:r w:rsidR="007825E8" w:rsidRPr="00A45961">
        <w:rPr>
          <w:rFonts w:ascii="Arial" w:hAnsi="Arial" w:cs="Arial"/>
          <w:sz w:val="22"/>
          <w:szCs w:val="22"/>
        </w:rPr>
        <w:t xml:space="preserve"> justice certification.  Disciplinary action is based on the facts of each case and is guided by both Florida Statute and Florida Administrative Code.  The following is a sample of the cases </w:t>
      </w:r>
      <w:bookmarkStart w:id="0" w:name="_GoBack"/>
      <w:bookmarkEnd w:id="0"/>
      <w:r w:rsidR="008C7B82">
        <w:rPr>
          <w:rFonts w:ascii="Arial" w:hAnsi="Arial" w:cs="Arial"/>
          <w:sz w:val="22"/>
          <w:szCs w:val="22"/>
        </w:rPr>
        <w:t xml:space="preserve">the Commission </w:t>
      </w:r>
      <w:r w:rsidR="00754082">
        <w:rPr>
          <w:rFonts w:ascii="Arial" w:hAnsi="Arial" w:cs="Arial"/>
          <w:sz w:val="22"/>
          <w:szCs w:val="22"/>
        </w:rPr>
        <w:t xml:space="preserve">heard </w:t>
      </w:r>
      <w:r w:rsidR="008C7B82">
        <w:rPr>
          <w:rFonts w:ascii="Arial" w:hAnsi="Arial" w:cs="Arial"/>
          <w:sz w:val="22"/>
          <w:szCs w:val="22"/>
        </w:rPr>
        <w:t>at its meeting</w:t>
      </w:r>
      <w:r w:rsidR="007825E8" w:rsidRPr="00A45961">
        <w:rPr>
          <w:rFonts w:ascii="Arial" w:hAnsi="Arial" w:cs="Arial"/>
          <w:sz w:val="22"/>
          <w:szCs w:val="22"/>
        </w:rPr>
        <w:t xml:space="preserve"> held on</w:t>
      </w:r>
      <w:r w:rsidR="00B9099D">
        <w:rPr>
          <w:rFonts w:ascii="Arial" w:hAnsi="Arial" w:cs="Arial"/>
          <w:sz w:val="22"/>
          <w:szCs w:val="22"/>
        </w:rPr>
        <w:t xml:space="preserve"> </w:t>
      </w:r>
      <w:r w:rsidR="00315A3A">
        <w:rPr>
          <w:rFonts w:ascii="Arial" w:hAnsi="Arial" w:cs="Arial"/>
          <w:sz w:val="22"/>
          <w:szCs w:val="22"/>
        </w:rPr>
        <w:t>May</w:t>
      </w:r>
      <w:r w:rsidR="00E27A08">
        <w:rPr>
          <w:rFonts w:ascii="Arial" w:hAnsi="Arial" w:cs="Arial"/>
          <w:sz w:val="22"/>
          <w:szCs w:val="22"/>
        </w:rPr>
        <w:t xml:space="preserve"> </w:t>
      </w:r>
      <w:r w:rsidR="00315A3A">
        <w:rPr>
          <w:rFonts w:ascii="Arial" w:hAnsi="Arial" w:cs="Arial"/>
          <w:sz w:val="22"/>
          <w:szCs w:val="22"/>
        </w:rPr>
        <w:t>5</w:t>
      </w:r>
      <w:r w:rsidR="00E27A08">
        <w:rPr>
          <w:rFonts w:ascii="Arial" w:hAnsi="Arial" w:cs="Arial"/>
          <w:sz w:val="22"/>
          <w:szCs w:val="22"/>
        </w:rPr>
        <w:t>, 2016</w:t>
      </w:r>
      <w:r w:rsidR="007825E8" w:rsidRPr="00A45961">
        <w:rPr>
          <w:rFonts w:ascii="Arial" w:hAnsi="Arial" w:cs="Arial"/>
          <w:sz w:val="22"/>
          <w:szCs w:val="22"/>
        </w:rPr>
        <w:t>.</w:t>
      </w:r>
    </w:p>
    <w:p w:rsidR="00A45961" w:rsidRDefault="00A45961" w:rsidP="008B0E3B">
      <w:pPr>
        <w:pBdr>
          <w:bottom w:val="single" w:sz="4" w:space="1" w:color="auto"/>
        </w:pBdr>
        <w:tabs>
          <w:tab w:val="left" w:pos="6120"/>
        </w:tabs>
        <w:rPr>
          <w:rFonts w:ascii="Arial" w:hAnsi="Arial" w:cs="Arial"/>
          <w:b/>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1A5087" w:rsidRDefault="00CF7D08" w:rsidP="009A07AF">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w:t>
      </w:r>
      <w:r w:rsidR="00315A3A">
        <w:rPr>
          <w:rFonts w:ascii="Arial" w:hAnsi="Arial" w:cs="Arial"/>
          <w:b/>
          <w:sz w:val="22"/>
          <w:szCs w:val="22"/>
        </w:rPr>
        <w:t>38866</w:t>
      </w:r>
      <w:r w:rsidR="00E27A08">
        <w:rPr>
          <w:rFonts w:ascii="Arial" w:hAnsi="Arial" w:cs="Arial"/>
          <w:b/>
          <w:sz w:val="22"/>
          <w:szCs w:val="22"/>
        </w:rPr>
        <w:t xml:space="preserve">- </w:t>
      </w:r>
      <w:r w:rsidR="00315A3A">
        <w:rPr>
          <w:rFonts w:ascii="Arial" w:hAnsi="Arial" w:cs="Arial"/>
          <w:b/>
          <w:sz w:val="22"/>
          <w:szCs w:val="22"/>
        </w:rPr>
        <w:t>Misuse of Official Position</w:t>
      </w:r>
    </w:p>
    <w:p w:rsidR="00315A3A" w:rsidRPr="00315A3A" w:rsidRDefault="00315A3A" w:rsidP="00315A3A">
      <w:pPr>
        <w:jc w:val="both"/>
        <w:rPr>
          <w:rFonts w:ascii="Arial" w:hAnsi="Arial" w:cs="Arial"/>
          <w:sz w:val="22"/>
          <w:szCs w:val="22"/>
        </w:rPr>
      </w:pPr>
      <w:r w:rsidRPr="00315A3A">
        <w:rPr>
          <w:rFonts w:ascii="Arial" w:hAnsi="Arial" w:cs="Arial"/>
          <w:sz w:val="22"/>
          <w:szCs w:val="22"/>
        </w:rPr>
        <w:t xml:space="preserve">The respondent resigned from the Fort Myers Police Department while under investigation for </w:t>
      </w:r>
      <w:r>
        <w:rPr>
          <w:rFonts w:ascii="Arial" w:hAnsi="Arial" w:cs="Arial"/>
          <w:sz w:val="22"/>
          <w:szCs w:val="22"/>
        </w:rPr>
        <w:t>misusing</w:t>
      </w:r>
      <w:r w:rsidRPr="00315A3A">
        <w:rPr>
          <w:rFonts w:ascii="Arial" w:hAnsi="Arial" w:cs="Arial"/>
          <w:sz w:val="22"/>
          <w:szCs w:val="22"/>
        </w:rPr>
        <w:t xml:space="preserve"> several of the </w:t>
      </w:r>
      <w:r>
        <w:rPr>
          <w:rFonts w:ascii="Arial" w:hAnsi="Arial" w:cs="Arial"/>
          <w:sz w:val="22"/>
          <w:szCs w:val="22"/>
        </w:rPr>
        <w:t xml:space="preserve">agency’s </w:t>
      </w:r>
      <w:r w:rsidRPr="00315A3A">
        <w:rPr>
          <w:rFonts w:ascii="Arial" w:hAnsi="Arial" w:cs="Arial"/>
          <w:sz w:val="22"/>
          <w:szCs w:val="22"/>
        </w:rPr>
        <w:t>electronic databases</w:t>
      </w:r>
      <w:r>
        <w:rPr>
          <w:rFonts w:ascii="Arial" w:hAnsi="Arial" w:cs="Arial"/>
          <w:sz w:val="22"/>
          <w:szCs w:val="22"/>
        </w:rPr>
        <w:t xml:space="preserve">.  </w:t>
      </w:r>
      <w:r w:rsidRPr="00315A3A">
        <w:rPr>
          <w:rFonts w:ascii="Arial" w:hAnsi="Arial" w:cs="Arial"/>
          <w:sz w:val="22"/>
          <w:szCs w:val="22"/>
        </w:rPr>
        <w:t xml:space="preserve">On September 16, 2014, the Fort Myers Police Department received a citizen complaint alleging </w:t>
      </w:r>
      <w:r>
        <w:rPr>
          <w:rFonts w:ascii="Arial" w:hAnsi="Arial" w:cs="Arial"/>
          <w:sz w:val="22"/>
          <w:szCs w:val="22"/>
        </w:rPr>
        <w:t>the respondent</w:t>
      </w:r>
      <w:r w:rsidRPr="00315A3A">
        <w:rPr>
          <w:rFonts w:ascii="Arial" w:hAnsi="Arial" w:cs="Arial"/>
          <w:sz w:val="22"/>
          <w:szCs w:val="22"/>
        </w:rPr>
        <w:t xml:space="preserve"> made DAVID inquiries on the complainant for reasons outside her official duties as a law enforcement officer. The complainant provided a report she had obtained which confirmed </w:t>
      </w:r>
      <w:r>
        <w:rPr>
          <w:rFonts w:ascii="Arial" w:hAnsi="Arial" w:cs="Arial"/>
          <w:sz w:val="22"/>
          <w:szCs w:val="22"/>
        </w:rPr>
        <w:t>the respondent</w:t>
      </w:r>
      <w:r w:rsidRPr="00315A3A">
        <w:rPr>
          <w:rFonts w:ascii="Arial" w:hAnsi="Arial" w:cs="Arial"/>
          <w:sz w:val="22"/>
          <w:szCs w:val="22"/>
        </w:rPr>
        <w:t xml:space="preserve"> ran a driver’s license inquiry and photo lineup of the complainant on January 20, 2014.  The complainant could not provide any explanation for </w:t>
      </w:r>
      <w:r w:rsidR="00B25366">
        <w:rPr>
          <w:rFonts w:ascii="Arial" w:hAnsi="Arial" w:cs="Arial"/>
          <w:sz w:val="22"/>
          <w:szCs w:val="22"/>
        </w:rPr>
        <w:t>the</w:t>
      </w:r>
      <w:r>
        <w:rPr>
          <w:rFonts w:ascii="Arial" w:hAnsi="Arial" w:cs="Arial"/>
          <w:sz w:val="22"/>
          <w:szCs w:val="22"/>
        </w:rPr>
        <w:t xml:space="preserve"> respondent</w:t>
      </w:r>
      <w:r w:rsidRPr="00315A3A">
        <w:rPr>
          <w:rFonts w:ascii="Arial" w:hAnsi="Arial" w:cs="Arial"/>
          <w:sz w:val="22"/>
          <w:szCs w:val="22"/>
        </w:rPr>
        <w:t xml:space="preserve"> run</w:t>
      </w:r>
      <w:r w:rsidR="00B25366">
        <w:rPr>
          <w:rFonts w:ascii="Arial" w:hAnsi="Arial" w:cs="Arial"/>
          <w:sz w:val="22"/>
          <w:szCs w:val="22"/>
        </w:rPr>
        <w:t>ning</w:t>
      </w:r>
      <w:r w:rsidRPr="00315A3A">
        <w:rPr>
          <w:rFonts w:ascii="Arial" w:hAnsi="Arial" w:cs="Arial"/>
          <w:sz w:val="22"/>
          <w:szCs w:val="22"/>
        </w:rPr>
        <w:t xml:space="preserve"> her information.  On September 18, 2014, in her sworn statement, the complainant stated she was currently engaged to </w:t>
      </w:r>
      <w:r>
        <w:rPr>
          <w:rFonts w:ascii="Arial" w:hAnsi="Arial" w:cs="Arial"/>
          <w:sz w:val="22"/>
          <w:szCs w:val="22"/>
        </w:rPr>
        <w:t>the respondent</w:t>
      </w:r>
      <w:r w:rsidRPr="00315A3A">
        <w:rPr>
          <w:rFonts w:ascii="Arial" w:hAnsi="Arial" w:cs="Arial"/>
          <w:sz w:val="22"/>
          <w:szCs w:val="22"/>
        </w:rPr>
        <w:t xml:space="preserve">’s ex-boyfriend.  The complainant and </w:t>
      </w:r>
      <w:r w:rsidR="00B25366">
        <w:rPr>
          <w:rFonts w:ascii="Arial" w:hAnsi="Arial" w:cs="Arial"/>
          <w:sz w:val="22"/>
          <w:szCs w:val="22"/>
        </w:rPr>
        <w:t>the</w:t>
      </w:r>
      <w:r>
        <w:rPr>
          <w:rFonts w:ascii="Arial" w:hAnsi="Arial" w:cs="Arial"/>
          <w:sz w:val="22"/>
          <w:szCs w:val="22"/>
        </w:rPr>
        <w:t xml:space="preserve"> respondent</w:t>
      </w:r>
      <w:r w:rsidRPr="00315A3A">
        <w:rPr>
          <w:rFonts w:ascii="Arial" w:hAnsi="Arial" w:cs="Arial"/>
          <w:sz w:val="22"/>
          <w:szCs w:val="22"/>
        </w:rPr>
        <w:t xml:space="preserve">’s ex-boyfriend began dating shortly after </w:t>
      </w:r>
      <w:r w:rsidR="00B25366">
        <w:rPr>
          <w:rFonts w:ascii="Arial" w:hAnsi="Arial" w:cs="Arial"/>
          <w:sz w:val="22"/>
          <w:szCs w:val="22"/>
        </w:rPr>
        <w:t>the</w:t>
      </w:r>
      <w:r>
        <w:rPr>
          <w:rFonts w:ascii="Arial" w:hAnsi="Arial" w:cs="Arial"/>
          <w:sz w:val="22"/>
          <w:szCs w:val="22"/>
        </w:rPr>
        <w:t xml:space="preserve"> respondent</w:t>
      </w:r>
      <w:r w:rsidRPr="00315A3A">
        <w:rPr>
          <w:rFonts w:ascii="Arial" w:hAnsi="Arial" w:cs="Arial"/>
          <w:sz w:val="22"/>
          <w:szCs w:val="22"/>
        </w:rPr>
        <w:t xml:space="preserve">’s relationship with the boyfriend ended.  </w:t>
      </w:r>
      <w:r w:rsidR="00CA4FC9">
        <w:rPr>
          <w:rFonts w:ascii="Arial" w:hAnsi="Arial" w:cs="Arial"/>
          <w:sz w:val="22"/>
          <w:szCs w:val="22"/>
        </w:rPr>
        <w:t>According to the complainant, t</w:t>
      </w:r>
      <w:r>
        <w:rPr>
          <w:rFonts w:ascii="Arial" w:hAnsi="Arial" w:cs="Arial"/>
          <w:sz w:val="22"/>
          <w:szCs w:val="22"/>
        </w:rPr>
        <w:t>he respondent</w:t>
      </w:r>
      <w:r w:rsidRPr="00315A3A">
        <w:rPr>
          <w:rFonts w:ascii="Arial" w:hAnsi="Arial" w:cs="Arial"/>
          <w:sz w:val="22"/>
          <w:szCs w:val="22"/>
        </w:rPr>
        <w:t xml:space="preserve"> did not handle the break up well and tried to do things to win him back </w:t>
      </w:r>
      <w:r w:rsidR="00B25366">
        <w:rPr>
          <w:rFonts w:ascii="Arial" w:hAnsi="Arial" w:cs="Arial"/>
          <w:sz w:val="22"/>
          <w:szCs w:val="22"/>
        </w:rPr>
        <w:t>such as</w:t>
      </w:r>
      <w:r w:rsidRPr="00315A3A">
        <w:rPr>
          <w:rFonts w:ascii="Arial" w:hAnsi="Arial" w:cs="Arial"/>
          <w:sz w:val="22"/>
          <w:szCs w:val="22"/>
        </w:rPr>
        <w:t xml:space="preserve"> sending him pictures, emails</w:t>
      </w:r>
      <w:r w:rsidR="00CA4FC9">
        <w:rPr>
          <w:rFonts w:ascii="Arial" w:hAnsi="Arial" w:cs="Arial"/>
          <w:sz w:val="22"/>
          <w:szCs w:val="22"/>
        </w:rPr>
        <w:t>,</w:t>
      </w:r>
      <w:r w:rsidRPr="00315A3A">
        <w:rPr>
          <w:rFonts w:ascii="Arial" w:hAnsi="Arial" w:cs="Arial"/>
          <w:sz w:val="22"/>
          <w:szCs w:val="22"/>
        </w:rPr>
        <w:t xml:space="preserve"> and text messages. The complainant explained that </w:t>
      </w:r>
      <w:r w:rsidR="00B25366">
        <w:rPr>
          <w:rFonts w:ascii="Arial" w:hAnsi="Arial" w:cs="Arial"/>
          <w:sz w:val="22"/>
          <w:szCs w:val="22"/>
        </w:rPr>
        <w:t>the</w:t>
      </w:r>
      <w:r>
        <w:rPr>
          <w:rFonts w:ascii="Arial" w:hAnsi="Arial" w:cs="Arial"/>
          <w:sz w:val="22"/>
          <w:szCs w:val="22"/>
        </w:rPr>
        <w:t xml:space="preserve"> respondent</w:t>
      </w:r>
      <w:r w:rsidRPr="00315A3A">
        <w:rPr>
          <w:rFonts w:ascii="Arial" w:hAnsi="Arial" w:cs="Arial"/>
          <w:sz w:val="22"/>
          <w:szCs w:val="22"/>
        </w:rPr>
        <w:t xml:space="preserve"> somehow found out her name and started following her through social network</w:t>
      </w:r>
      <w:r w:rsidR="00B25366">
        <w:rPr>
          <w:rFonts w:ascii="Arial" w:hAnsi="Arial" w:cs="Arial"/>
          <w:sz w:val="22"/>
          <w:szCs w:val="22"/>
        </w:rPr>
        <w:t>ing</w:t>
      </w:r>
      <w:r w:rsidRPr="00315A3A">
        <w:rPr>
          <w:rFonts w:ascii="Arial" w:hAnsi="Arial" w:cs="Arial"/>
          <w:sz w:val="22"/>
          <w:szCs w:val="22"/>
        </w:rPr>
        <w:t xml:space="preserve">, which allowed </w:t>
      </w:r>
      <w:r w:rsidR="00B25366">
        <w:rPr>
          <w:rFonts w:ascii="Arial" w:hAnsi="Arial" w:cs="Arial"/>
          <w:sz w:val="22"/>
          <w:szCs w:val="22"/>
        </w:rPr>
        <w:t>t</w:t>
      </w:r>
      <w:r>
        <w:rPr>
          <w:rFonts w:ascii="Arial" w:hAnsi="Arial" w:cs="Arial"/>
          <w:sz w:val="22"/>
          <w:szCs w:val="22"/>
        </w:rPr>
        <w:t>he respondent</w:t>
      </w:r>
      <w:r w:rsidRPr="00315A3A">
        <w:rPr>
          <w:rFonts w:ascii="Arial" w:hAnsi="Arial" w:cs="Arial"/>
          <w:sz w:val="22"/>
          <w:szCs w:val="22"/>
        </w:rPr>
        <w:t xml:space="preserve"> the ability to read anything the complainant posted.  On January 18, 2014, and January 19, 2014, </w:t>
      </w:r>
      <w:r w:rsidR="00B25366">
        <w:rPr>
          <w:rFonts w:ascii="Arial" w:hAnsi="Arial" w:cs="Arial"/>
          <w:sz w:val="22"/>
          <w:szCs w:val="22"/>
        </w:rPr>
        <w:t>the</w:t>
      </w:r>
      <w:r>
        <w:rPr>
          <w:rFonts w:ascii="Arial" w:hAnsi="Arial" w:cs="Arial"/>
          <w:sz w:val="22"/>
          <w:szCs w:val="22"/>
        </w:rPr>
        <w:t xml:space="preserve"> respondent</w:t>
      </w:r>
      <w:r w:rsidRPr="00315A3A">
        <w:rPr>
          <w:rFonts w:ascii="Arial" w:hAnsi="Arial" w:cs="Arial"/>
          <w:sz w:val="22"/>
          <w:szCs w:val="22"/>
        </w:rPr>
        <w:t xml:space="preserve"> and the complainant engaged in a dialogue through the social networking site regarding the</w:t>
      </w:r>
      <w:r w:rsidR="00B25366">
        <w:rPr>
          <w:rFonts w:ascii="Arial" w:hAnsi="Arial" w:cs="Arial"/>
          <w:sz w:val="22"/>
          <w:szCs w:val="22"/>
        </w:rPr>
        <w:t>ir</w:t>
      </w:r>
      <w:r w:rsidRPr="00315A3A">
        <w:rPr>
          <w:rFonts w:ascii="Arial" w:hAnsi="Arial" w:cs="Arial"/>
          <w:sz w:val="22"/>
          <w:szCs w:val="22"/>
        </w:rPr>
        <w:t xml:space="preserve"> relationship with the boyfriend. </w:t>
      </w:r>
      <w:r w:rsidR="00B25366">
        <w:rPr>
          <w:rFonts w:ascii="Arial" w:hAnsi="Arial" w:cs="Arial"/>
          <w:sz w:val="22"/>
          <w:szCs w:val="22"/>
        </w:rPr>
        <w:t xml:space="preserve"> T</w:t>
      </w:r>
      <w:r w:rsidRPr="00315A3A">
        <w:rPr>
          <w:rFonts w:ascii="Arial" w:hAnsi="Arial" w:cs="Arial"/>
          <w:sz w:val="22"/>
          <w:szCs w:val="22"/>
        </w:rPr>
        <w:t xml:space="preserve">he DAVID report </w:t>
      </w:r>
      <w:r w:rsidR="00B25366">
        <w:rPr>
          <w:rFonts w:ascii="Arial" w:hAnsi="Arial" w:cs="Arial"/>
          <w:sz w:val="22"/>
          <w:szCs w:val="22"/>
        </w:rPr>
        <w:t>indicated that the next day, t</w:t>
      </w:r>
      <w:r>
        <w:rPr>
          <w:rFonts w:ascii="Arial" w:hAnsi="Arial" w:cs="Arial"/>
          <w:sz w:val="22"/>
          <w:szCs w:val="22"/>
        </w:rPr>
        <w:t>he respondent</w:t>
      </w:r>
      <w:r w:rsidRPr="00315A3A">
        <w:rPr>
          <w:rFonts w:ascii="Arial" w:hAnsi="Arial" w:cs="Arial"/>
          <w:sz w:val="22"/>
          <w:szCs w:val="22"/>
        </w:rPr>
        <w:t xml:space="preserve"> logged i</w:t>
      </w:r>
      <w:r w:rsidR="00B25366">
        <w:rPr>
          <w:rFonts w:ascii="Arial" w:hAnsi="Arial" w:cs="Arial"/>
          <w:sz w:val="22"/>
          <w:szCs w:val="22"/>
        </w:rPr>
        <w:t xml:space="preserve">nto the terminal </w:t>
      </w:r>
      <w:r w:rsidRPr="00315A3A">
        <w:rPr>
          <w:rFonts w:ascii="Arial" w:hAnsi="Arial" w:cs="Arial"/>
          <w:sz w:val="22"/>
          <w:szCs w:val="22"/>
        </w:rPr>
        <w:t xml:space="preserve">and </w:t>
      </w:r>
      <w:r w:rsidR="00B25366">
        <w:rPr>
          <w:rFonts w:ascii="Arial" w:hAnsi="Arial" w:cs="Arial"/>
          <w:sz w:val="22"/>
          <w:szCs w:val="22"/>
        </w:rPr>
        <w:t>ran the complainant</w:t>
      </w:r>
      <w:r w:rsidRPr="00315A3A">
        <w:rPr>
          <w:rFonts w:ascii="Arial" w:hAnsi="Arial" w:cs="Arial"/>
          <w:sz w:val="22"/>
          <w:szCs w:val="22"/>
        </w:rPr>
        <w:t xml:space="preserve"> in </w:t>
      </w:r>
      <w:r w:rsidR="00B25366">
        <w:rPr>
          <w:rFonts w:ascii="Arial" w:hAnsi="Arial" w:cs="Arial"/>
          <w:sz w:val="22"/>
          <w:szCs w:val="22"/>
        </w:rPr>
        <w:t>DAVID system</w:t>
      </w:r>
      <w:r w:rsidRPr="00315A3A">
        <w:rPr>
          <w:rFonts w:ascii="Arial" w:hAnsi="Arial" w:cs="Arial"/>
          <w:sz w:val="22"/>
          <w:szCs w:val="22"/>
        </w:rPr>
        <w:t xml:space="preserve">. </w:t>
      </w:r>
      <w:r>
        <w:rPr>
          <w:rFonts w:ascii="Arial" w:hAnsi="Arial" w:cs="Arial"/>
          <w:sz w:val="22"/>
          <w:szCs w:val="22"/>
        </w:rPr>
        <w:t>The respondent</w:t>
      </w:r>
      <w:r w:rsidRPr="00315A3A">
        <w:rPr>
          <w:rFonts w:ascii="Arial" w:hAnsi="Arial" w:cs="Arial"/>
          <w:sz w:val="22"/>
          <w:szCs w:val="22"/>
        </w:rPr>
        <w:t xml:space="preserve"> resigned without providing a statement.  </w:t>
      </w:r>
    </w:p>
    <w:p w:rsidR="00F818D8" w:rsidRPr="00A45961" w:rsidRDefault="00F818D8" w:rsidP="00F818D8">
      <w:pPr>
        <w:rPr>
          <w:rFonts w:ascii="Arial" w:hAnsi="Arial" w:cs="Arial"/>
          <w:sz w:val="22"/>
          <w:szCs w:val="22"/>
        </w:rPr>
      </w:pPr>
    </w:p>
    <w:p w:rsidR="00F818D8" w:rsidRDefault="00F818D8" w:rsidP="00F818D8">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B25366">
        <w:rPr>
          <w:rFonts w:ascii="Arial" w:hAnsi="Arial" w:cs="Arial"/>
          <w:sz w:val="22"/>
          <w:szCs w:val="22"/>
        </w:rPr>
        <w:t xml:space="preserve">Probation to </w:t>
      </w:r>
      <w:r>
        <w:rPr>
          <w:rFonts w:ascii="Arial" w:hAnsi="Arial" w:cs="Arial"/>
          <w:sz w:val="22"/>
          <w:szCs w:val="22"/>
        </w:rPr>
        <w:t>Suspension</w:t>
      </w:r>
    </w:p>
    <w:p w:rsidR="00E27A08" w:rsidRPr="00E27A08" w:rsidRDefault="00B25366" w:rsidP="00E27A08">
      <w:pPr>
        <w:rPr>
          <w:rFonts w:ascii="Arial" w:hAnsi="Arial" w:cs="Arial"/>
          <w:sz w:val="22"/>
          <w:szCs w:val="22"/>
        </w:rPr>
      </w:pPr>
      <w:r>
        <w:rPr>
          <w:rFonts w:ascii="Arial" w:hAnsi="Arial" w:cs="Arial"/>
          <w:sz w:val="22"/>
          <w:szCs w:val="22"/>
        </w:rPr>
        <w:t xml:space="preserve">FDLE Prosecution requested </w:t>
      </w:r>
      <w:r w:rsidR="00E27A08">
        <w:rPr>
          <w:rFonts w:ascii="Arial" w:hAnsi="Arial" w:cs="Arial"/>
          <w:sz w:val="22"/>
          <w:szCs w:val="22"/>
        </w:rPr>
        <w:t xml:space="preserve">a </w:t>
      </w:r>
      <w:r>
        <w:rPr>
          <w:rFonts w:ascii="Arial" w:hAnsi="Arial" w:cs="Arial"/>
          <w:sz w:val="22"/>
          <w:szCs w:val="22"/>
        </w:rPr>
        <w:t>10 day</w:t>
      </w:r>
      <w:r w:rsidR="00E27A08" w:rsidRPr="00E27A08">
        <w:rPr>
          <w:rFonts w:ascii="Arial" w:hAnsi="Arial" w:cs="Arial"/>
          <w:sz w:val="22"/>
          <w:szCs w:val="22"/>
        </w:rPr>
        <w:t xml:space="preserve"> prospective suspension; </w:t>
      </w:r>
      <w:r>
        <w:rPr>
          <w:rFonts w:ascii="Arial" w:hAnsi="Arial" w:cs="Arial"/>
          <w:sz w:val="22"/>
          <w:szCs w:val="22"/>
        </w:rPr>
        <w:t>6 month</w:t>
      </w:r>
      <w:r w:rsidR="00E27A08" w:rsidRPr="00E27A08">
        <w:rPr>
          <w:rFonts w:ascii="Arial" w:hAnsi="Arial" w:cs="Arial"/>
          <w:sz w:val="22"/>
          <w:szCs w:val="22"/>
        </w:rPr>
        <w:t xml:space="preserve"> probation to begin at the conclusion of the suspension period; provide staff with proof of successful completion of</w:t>
      </w:r>
      <w:r w:rsidR="009B787A">
        <w:rPr>
          <w:rFonts w:ascii="Arial" w:hAnsi="Arial" w:cs="Arial"/>
          <w:sz w:val="22"/>
          <w:szCs w:val="22"/>
        </w:rPr>
        <w:t xml:space="preserve"> a</w:t>
      </w:r>
      <w:r w:rsidR="00E27A08" w:rsidRPr="00E27A08">
        <w:rPr>
          <w:rFonts w:ascii="Arial" w:hAnsi="Arial" w:cs="Arial"/>
          <w:sz w:val="22"/>
          <w:szCs w:val="22"/>
        </w:rPr>
        <w:t xml:space="preserve"> Commission-approved ethics course prior to the end of the probationary period.</w:t>
      </w:r>
    </w:p>
    <w:p w:rsidR="00F818D8" w:rsidRPr="00A45961" w:rsidRDefault="00F818D8" w:rsidP="00F818D8">
      <w:pPr>
        <w:rPr>
          <w:rFonts w:ascii="Arial" w:hAnsi="Arial" w:cs="Arial"/>
          <w:sz w:val="22"/>
          <w:szCs w:val="22"/>
        </w:rPr>
      </w:pPr>
    </w:p>
    <w:p w:rsidR="00F818D8" w:rsidRPr="00BD58A9" w:rsidRDefault="00F818D8" w:rsidP="00F818D8">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Pr>
          <w:rFonts w:ascii="Arial" w:hAnsi="Arial" w:cs="Arial"/>
          <w:sz w:val="22"/>
          <w:szCs w:val="22"/>
        </w:rPr>
        <w:t xml:space="preserve">accepted </w:t>
      </w:r>
      <w:r w:rsidR="00E27A08">
        <w:rPr>
          <w:rFonts w:ascii="Arial" w:hAnsi="Arial" w:cs="Arial"/>
          <w:sz w:val="22"/>
          <w:szCs w:val="22"/>
        </w:rPr>
        <w:t xml:space="preserve">the </w:t>
      </w:r>
      <w:r w:rsidR="00B25366">
        <w:rPr>
          <w:rFonts w:ascii="Arial" w:hAnsi="Arial" w:cs="Arial"/>
          <w:sz w:val="22"/>
          <w:szCs w:val="22"/>
        </w:rPr>
        <w:t>requested penalty</w:t>
      </w:r>
      <w:r>
        <w:rPr>
          <w:rFonts w:ascii="Arial" w:hAnsi="Arial" w:cs="Arial"/>
          <w:sz w:val="22"/>
          <w:szCs w:val="22"/>
        </w:rPr>
        <w:t>.</w:t>
      </w:r>
    </w:p>
    <w:p w:rsidR="005C0264" w:rsidRPr="00A45961" w:rsidRDefault="005C0264" w:rsidP="008B0E3B">
      <w:pPr>
        <w:autoSpaceDE w:val="0"/>
        <w:autoSpaceDN w:val="0"/>
        <w:adjustRightInd w:val="0"/>
        <w:rPr>
          <w:rFonts w:ascii="Arial" w:eastAsiaTheme="minorHAnsi" w:hAnsi="Arial" w:cs="Arial"/>
        </w:rPr>
      </w:pPr>
    </w:p>
    <w:p w:rsidR="002C4B85" w:rsidRDefault="00C33F07" w:rsidP="0042355A">
      <w:pPr>
        <w:pBdr>
          <w:bottom w:val="single" w:sz="4" w:space="1" w:color="auto"/>
        </w:pBdr>
        <w:autoSpaceDE w:val="0"/>
        <w:autoSpaceDN w:val="0"/>
        <w:adjustRightInd w:val="0"/>
        <w:ind w:left="1440" w:hanging="1440"/>
        <w:rPr>
          <w:rFonts w:ascii="Arial" w:hAnsi="Arial" w:cs="Arial"/>
          <w:b/>
          <w:sz w:val="22"/>
          <w:szCs w:val="22"/>
        </w:rPr>
      </w:pPr>
      <w:r w:rsidRPr="0042355A">
        <w:rPr>
          <w:rFonts w:ascii="Arial" w:hAnsi="Arial" w:cs="Arial"/>
          <w:b/>
          <w:sz w:val="22"/>
          <w:szCs w:val="22"/>
        </w:rPr>
        <w:lastRenderedPageBreak/>
        <w:t xml:space="preserve">Case # </w:t>
      </w:r>
      <w:r w:rsidR="00BA5850">
        <w:rPr>
          <w:rFonts w:ascii="Arial" w:hAnsi="Arial" w:cs="Arial"/>
          <w:b/>
          <w:sz w:val="22"/>
          <w:szCs w:val="22"/>
        </w:rPr>
        <w:t>38962</w:t>
      </w:r>
      <w:r w:rsidR="00102032">
        <w:rPr>
          <w:rFonts w:ascii="Arial" w:hAnsi="Arial" w:cs="Arial"/>
          <w:b/>
          <w:sz w:val="22"/>
          <w:szCs w:val="22"/>
        </w:rPr>
        <w:t>-</w:t>
      </w:r>
      <w:r w:rsidR="00BA5850" w:rsidRPr="00BA5850">
        <w:rPr>
          <w:rFonts w:ascii="Times New Roman" w:hAnsi="Times New Roman"/>
          <w:sz w:val="22"/>
          <w:szCs w:val="22"/>
        </w:rPr>
        <w:t xml:space="preserve"> </w:t>
      </w:r>
      <w:r w:rsidR="00BA5850" w:rsidRPr="00BA5850">
        <w:rPr>
          <w:rFonts w:ascii="Arial" w:hAnsi="Arial" w:cs="Arial"/>
          <w:b/>
          <w:sz w:val="22"/>
          <w:szCs w:val="22"/>
        </w:rPr>
        <w:t xml:space="preserve">Any Overt, </w:t>
      </w:r>
      <w:proofErr w:type="gramStart"/>
      <w:r w:rsidR="00BA5850" w:rsidRPr="00BA5850">
        <w:rPr>
          <w:rFonts w:ascii="Arial" w:hAnsi="Arial" w:cs="Arial"/>
          <w:b/>
          <w:sz w:val="22"/>
          <w:szCs w:val="22"/>
        </w:rPr>
        <w:t>Conspicuous,</w:t>
      </w:r>
      <w:proofErr w:type="gramEnd"/>
      <w:r w:rsidR="00BA5850" w:rsidRPr="00BA5850">
        <w:rPr>
          <w:rFonts w:ascii="Arial" w:hAnsi="Arial" w:cs="Arial"/>
          <w:b/>
          <w:sz w:val="22"/>
          <w:szCs w:val="22"/>
        </w:rPr>
        <w:t xml:space="preserve"> or Public Act of a Sexual or Simulated Sexua</w:t>
      </w:r>
      <w:r w:rsidR="002C4B85">
        <w:rPr>
          <w:rFonts w:ascii="Arial" w:hAnsi="Arial" w:cs="Arial"/>
          <w:b/>
          <w:sz w:val="22"/>
          <w:szCs w:val="22"/>
        </w:rPr>
        <w:t>l</w:t>
      </w:r>
    </w:p>
    <w:p w:rsidR="0042355A" w:rsidRPr="0042355A" w:rsidRDefault="002C4B85" w:rsidP="0042355A">
      <w:pPr>
        <w:pBdr>
          <w:bottom w:val="single" w:sz="4" w:space="1" w:color="auto"/>
        </w:pBdr>
        <w:autoSpaceDE w:val="0"/>
        <w:autoSpaceDN w:val="0"/>
        <w:adjustRightInd w:val="0"/>
        <w:ind w:left="1440" w:hanging="1440"/>
        <w:rPr>
          <w:rFonts w:ascii="Arial" w:hAnsi="Arial" w:cs="Arial"/>
          <w:b/>
          <w:sz w:val="22"/>
          <w:szCs w:val="22"/>
        </w:rPr>
      </w:pPr>
      <w:r>
        <w:rPr>
          <w:rFonts w:ascii="Arial" w:hAnsi="Arial" w:cs="Arial"/>
          <w:b/>
          <w:sz w:val="22"/>
          <w:szCs w:val="22"/>
        </w:rPr>
        <w:tab/>
      </w:r>
      <w:r w:rsidR="00BA5850" w:rsidRPr="00BA5850">
        <w:rPr>
          <w:rFonts w:ascii="Arial" w:hAnsi="Arial" w:cs="Arial"/>
          <w:b/>
          <w:sz w:val="22"/>
          <w:szCs w:val="22"/>
        </w:rPr>
        <w:t xml:space="preserve">Nature which is Likely to be </w:t>
      </w:r>
      <w:proofErr w:type="gramStart"/>
      <w:r w:rsidR="00BA5850" w:rsidRPr="00BA5850">
        <w:rPr>
          <w:rFonts w:ascii="Arial" w:hAnsi="Arial" w:cs="Arial"/>
          <w:b/>
          <w:sz w:val="22"/>
          <w:szCs w:val="22"/>
        </w:rPr>
        <w:t>Observed</w:t>
      </w:r>
      <w:proofErr w:type="gramEnd"/>
      <w:r w:rsidR="00BA5850" w:rsidRPr="00BA5850">
        <w:rPr>
          <w:rFonts w:ascii="Arial" w:hAnsi="Arial" w:cs="Arial"/>
          <w:b/>
          <w:sz w:val="22"/>
          <w:szCs w:val="22"/>
        </w:rPr>
        <w:t xml:space="preserve"> by Others</w:t>
      </w:r>
    </w:p>
    <w:p w:rsidR="00BA5850" w:rsidRPr="00BA5850" w:rsidRDefault="00BA5850" w:rsidP="00BA5850">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The respondent </w:t>
      </w:r>
      <w:r w:rsidRPr="00BA5850">
        <w:rPr>
          <w:rFonts w:ascii="Arial" w:eastAsiaTheme="minorHAnsi" w:hAnsi="Arial" w:cs="Arial"/>
          <w:sz w:val="22"/>
          <w:szCs w:val="22"/>
        </w:rPr>
        <w:t>was terminated from the Manatee County Sheriff’s Office (MCSO) subsequent to an internal investigation which sustained the charges of Conduct Unbecoming, Insubordination, and Neglect of Duty.  The internal investigation did not sustain the charge of Unlawful Conduct.</w:t>
      </w:r>
      <w:r w:rsidR="00F828CB">
        <w:rPr>
          <w:rFonts w:ascii="Arial" w:eastAsiaTheme="minorHAnsi" w:hAnsi="Arial" w:cs="Arial"/>
          <w:sz w:val="22"/>
          <w:szCs w:val="22"/>
        </w:rPr>
        <w:t xml:space="preserve">  </w:t>
      </w:r>
      <w:r w:rsidRPr="00BA5850">
        <w:rPr>
          <w:rFonts w:ascii="Arial" w:eastAsiaTheme="minorHAnsi" w:hAnsi="Arial" w:cs="Arial"/>
          <w:sz w:val="22"/>
          <w:szCs w:val="22"/>
        </w:rPr>
        <w:t xml:space="preserve">On April 6, 2015, </w:t>
      </w:r>
      <w:r w:rsidR="00D21B4E" w:rsidRPr="00BA5850">
        <w:rPr>
          <w:rFonts w:ascii="Arial" w:eastAsiaTheme="minorHAnsi" w:hAnsi="Arial" w:cs="Arial"/>
          <w:sz w:val="22"/>
          <w:szCs w:val="22"/>
        </w:rPr>
        <w:t>a</w:t>
      </w:r>
      <w:r w:rsidRPr="00BA5850">
        <w:rPr>
          <w:rFonts w:ascii="Arial" w:eastAsiaTheme="minorHAnsi" w:hAnsi="Arial" w:cs="Arial"/>
          <w:sz w:val="22"/>
          <w:szCs w:val="22"/>
        </w:rPr>
        <w:t xml:space="preserve"> sergeant from MCSO was informed of allegations that </w:t>
      </w:r>
      <w:r w:rsidR="00F828CB">
        <w:rPr>
          <w:rFonts w:ascii="Arial" w:eastAsiaTheme="minorHAnsi" w:hAnsi="Arial" w:cs="Arial"/>
          <w:sz w:val="22"/>
          <w:szCs w:val="22"/>
        </w:rPr>
        <w:t>t</w:t>
      </w:r>
      <w:r>
        <w:rPr>
          <w:rFonts w:ascii="Arial" w:eastAsiaTheme="minorHAnsi" w:hAnsi="Arial" w:cs="Arial"/>
          <w:sz w:val="22"/>
          <w:szCs w:val="22"/>
        </w:rPr>
        <w:t>he respondent</w:t>
      </w:r>
      <w:r w:rsidRPr="00BA5850">
        <w:rPr>
          <w:rFonts w:ascii="Arial" w:eastAsiaTheme="minorHAnsi" w:hAnsi="Arial" w:cs="Arial"/>
          <w:sz w:val="22"/>
          <w:szCs w:val="22"/>
        </w:rPr>
        <w:t xml:space="preserve"> was observed by an emergency room nurse having sex with his girlfriend at a hospital.  On April 4, 2015,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was visiting his girlfriend in the emergency room of a hospital while she was being treated for injuries she sustained near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’s residence.  A nurse technician observed </w:t>
      </w:r>
      <w:r w:rsidR="00CA4FC9" w:rsidRPr="00BA5850">
        <w:rPr>
          <w:rFonts w:ascii="Arial" w:eastAsiaTheme="minorHAnsi" w:hAnsi="Arial" w:cs="Arial"/>
          <w:sz w:val="22"/>
          <w:szCs w:val="22"/>
        </w:rPr>
        <w:t>over video surveillance</w:t>
      </w:r>
      <w:r w:rsidR="00CA4FC9">
        <w:rPr>
          <w:rFonts w:ascii="Arial" w:eastAsiaTheme="minorHAnsi" w:hAnsi="Arial" w:cs="Arial"/>
          <w:sz w:val="22"/>
          <w:szCs w:val="22"/>
        </w:rPr>
        <w:t xml:space="preserve">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and his girlfriend having sex and informed a nurse.  The nurse walked into the room occupied by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and his girlfriend, observed them having sex, and asked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what he was doing.  When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moved away from his girlfriend, the nurse observed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’s exposed penis.  A</w:t>
      </w:r>
      <w:r w:rsidR="00F828CB">
        <w:rPr>
          <w:rFonts w:ascii="Arial" w:eastAsiaTheme="minorHAnsi" w:hAnsi="Arial" w:cs="Arial"/>
          <w:sz w:val="22"/>
          <w:szCs w:val="22"/>
        </w:rPr>
        <w:t>n</w:t>
      </w:r>
      <w:r w:rsidRPr="00BA5850">
        <w:rPr>
          <w:rFonts w:ascii="Arial" w:eastAsiaTheme="minorHAnsi" w:hAnsi="Arial" w:cs="Arial"/>
          <w:sz w:val="22"/>
          <w:szCs w:val="22"/>
        </w:rPr>
        <w:t xml:space="preserve"> </w:t>
      </w:r>
      <w:r w:rsidR="00F828CB" w:rsidRPr="00BA5850">
        <w:rPr>
          <w:rFonts w:ascii="Arial" w:eastAsiaTheme="minorHAnsi" w:hAnsi="Arial" w:cs="Arial"/>
          <w:sz w:val="22"/>
          <w:szCs w:val="22"/>
        </w:rPr>
        <w:t xml:space="preserve">officer </w:t>
      </w:r>
      <w:r w:rsidR="00F828CB">
        <w:rPr>
          <w:rFonts w:ascii="Arial" w:eastAsiaTheme="minorHAnsi" w:hAnsi="Arial" w:cs="Arial"/>
          <w:sz w:val="22"/>
          <w:szCs w:val="22"/>
        </w:rPr>
        <w:t xml:space="preserve">from the </w:t>
      </w:r>
      <w:r w:rsidRPr="00BA5850">
        <w:rPr>
          <w:rFonts w:ascii="Arial" w:eastAsiaTheme="minorHAnsi" w:hAnsi="Arial" w:cs="Arial"/>
          <w:sz w:val="22"/>
          <w:szCs w:val="22"/>
        </w:rPr>
        <w:t xml:space="preserve">Tampa Police Department was working </w:t>
      </w:r>
      <w:r w:rsidR="00F828CB">
        <w:rPr>
          <w:rFonts w:ascii="Arial" w:eastAsiaTheme="minorHAnsi" w:hAnsi="Arial" w:cs="Arial"/>
          <w:sz w:val="22"/>
          <w:szCs w:val="22"/>
        </w:rPr>
        <w:t xml:space="preserve">an </w:t>
      </w:r>
      <w:r w:rsidRPr="00BA5850">
        <w:rPr>
          <w:rFonts w:ascii="Arial" w:eastAsiaTheme="minorHAnsi" w:hAnsi="Arial" w:cs="Arial"/>
          <w:sz w:val="22"/>
          <w:szCs w:val="22"/>
        </w:rPr>
        <w:t xml:space="preserve">off-duty detail at the hospital and was asked to report to the girlfriend’s room.  In a sworn interview, the officer stated he confronted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w:t>
      </w:r>
      <w:r w:rsidR="00F828CB">
        <w:rPr>
          <w:rFonts w:ascii="Arial" w:eastAsiaTheme="minorHAnsi" w:hAnsi="Arial" w:cs="Arial"/>
          <w:sz w:val="22"/>
          <w:szCs w:val="22"/>
        </w:rPr>
        <w:t xml:space="preserve">with the accusation </w:t>
      </w:r>
      <w:r w:rsidRPr="00BA5850">
        <w:rPr>
          <w:rFonts w:ascii="Arial" w:eastAsiaTheme="minorHAnsi" w:hAnsi="Arial" w:cs="Arial"/>
          <w:sz w:val="22"/>
          <w:szCs w:val="22"/>
        </w:rPr>
        <w:t xml:space="preserve">that he </w:t>
      </w:r>
      <w:r w:rsidR="00F828CB">
        <w:rPr>
          <w:rFonts w:ascii="Arial" w:eastAsiaTheme="minorHAnsi" w:hAnsi="Arial" w:cs="Arial"/>
          <w:sz w:val="22"/>
          <w:szCs w:val="22"/>
        </w:rPr>
        <w:t xml:space="preserve">was </w:t>
      </w:r>
      <w:r w:rsidRPr="00BA5850">
        <w:rPr>
          <w:rFonts w:ascii="Arial" w:eastAsiaTheme="minorHAnsi" w:hAnsi="Arial" w:cs="Arial"/>
          <w:sz w:val="22"/>
          <w:szCs w:val="22"/>
        </w:rPr>
        <w:t xml:space="preserve">observed having sex with his girlfriend.  </w:t>
      </w:r>
      <w:r>
        <w:rPr>
          <w:rFonts w:ascii="Arial" w:eastAsiaTheme="minorHAnsi" w:hAnsi="Arial" w:cs="Arial"/>
          <w:sz w:val="22"/>
          <w:szCs w:val="22"/>
        </w:rPr>
        <w:t>The respondent</w:t>
      </w:r>
      <w:r w:rsidRPr="00BA5850">
        <w:rPr>
          <w:rFonts w:ascii="Arial" w:eastAsiaTheme="minorHAnsi" w:hAnsi="Arial" w:cs="Arial"/>
          <w:sz w:val="22"/>
          <w:szCs w:val="22"/>
        </w:rPr>
        <w:t xml:space="preserve"> did not deny the allegation and was apologetic.  The officer stated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’s girlfriend informed him that she was in a semiconscious state when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tried to have sex with her, but she was a willing participant. </w:t>
      </w:r>
      <w:r>
        <w:rPr>
          <w:rFonts w:ascii="Arial" w:eastAsiaTheme="minorHAnsi" w:hAnsi="Arial" w:cs="Arial"/>
          <w:sz w:val="22"/>
          <w:szCs w:val="22"/>
        </w:rPr>
        <w:t xml:space="preserve"> </w:t>
      </w:r>
      <w:r w:rsidRPr="00BA5850">
        <w:rPr>
          <w:rFonts w:ascii="Arial" w:eastAsiaTheme="minorHAnsi" w:hAnsi="Arial" w:cs="Arial"/>
          <w:sz w:val="22"/>
          <w:szCs w:val="22"/>
        </w:rPr>
        <w:t xml:space="preserve">In a sworn interview,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said he did not have sex in the hospital, did not attempt to have sex, and did not have his penis exposed.  </w:t>
      </w:r>
      <w:r>
        <w:rPr>
          <w:rFonts w:ascii="Arial" w:eastAsiaTheme="minorHAnsi" w:hAnsi="Arial" w:cs="Arial"/>
          <w:sz w:val="22"/>
          <w:szCs w:val="22"/>
        </w:rPr>
        <w:t>The respondent</w:t>
      </w:r>
      <w:r w:rsidRPr="00BA5850">
        <w:rPr>
          <w:rFonts w:ascii="Arial" w:eastAsiaTheme="minorHAnsi" w:hAnsi="Arial" w:cs="Arial"/>
          <w:sz w:val="22"/>
          <w:szCs w:val="22"/>
        </w:rPr>
        <w:t xml:space="preserve"> claimed he was at the foot of the bed with his hands on his girlfriend’s thighs to soothe her pain when the nurse came in.  </w:t>
      </w:r>
      <w:r>
        <w:rPr>
          <w:rFonts w:ascii="Arial" w:eastAsiaTheme="minorHAnsi" w:hAnsi="Arial" w:cs="Arial"/>
          <w:sz w:val="22"/>
          <w:szCs w:val="22"/>
        </w:rPr>
        <w:t>The respondent</w:t>
      </w:r>
      <w:r w:rsidRPr="00BA5850">
        <w:rPr>
          <w:rFonts w:ascii="Arial" w:eastAsiaTheme="minorHAnsi" w:hAnsi="Arial" w:cs="Arial"/>
          <w:sz w:val="22"/>
          <w:szCs w:val="22"/>
        </w:rPr>
        <w:t xml:space="preserve"> denied ever speaking with the off-duty officer at the hospital and claimed he was not interviewed by anyone on April 4, 2015.  </w:t>
      </w:r>
      <w:r>
        <w:rPr>
          <w:rFonts w:ascii="Arial" w:eastAsiaTheme="minorHAnsi" w:hAnsi="Arial" w:cs="Arial"/>
          <w:sz w:val="22"/>
          <w:szCs w:val="22"/>
        </w:rPr>
        <w:t>The respondent</w:t>
      </w:r>
      <w:r w:rsidRPr="00BA5850">
        <w:rPr>
          <w:rFonts w:ascii="Arial" w:eastAsiaTheme="minorHAnsi" w:hAnsi="Arial" w:cs="Arial"/>
          <w:sz w:val="22"/>
          <w:szCs w:val="22"/>
        </w:rPr>
        <w:t xml:space="preserve">’s girlfriend claimed she never informed the off-duty officer that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attempted to have sex with her,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never penetrated her, he never exposed himself to her, and </w:t>
      </w:r>
      <w:r w:rsidR="00F828CB">
        <w:rPr>
          <w:rFonts w:ascii="Arial" w:eastAsiaTheme="minorHAnsi" w:hAnsi="Arial" w:cs="Arial"/>
          <w:sz w:val="22"/>
          <w:szCs w:val="22"/>
        </w:rPr>
        <w:t>the</w:t>
      </w:r>
      <w:r>
        <w:rPr>
          <w:rFonts w:ascii="Arial" w:eastAsiaTheme="minorHAnsi" w:hAnsi="Arial" w:cs="Arial"/>
          <w:sz w:val="22"/>
          <w:szCs w:val="22"/>
        </w:rPr>
        <w:t xml:space="preserve"> respondent</w:t>
      </w:r>
      <w:r w:rsidRPr="00BA5850">
        <w:rPr>
          <w:rFonts w:ascii="Arial" w:eastAsiaTheme="minorHAnsi" w:hAnsi="Arial" w:cs="Arial"/>
          <w:sz w:val="22"/>
          <w:szCs w:val="22"/>
        </w:rPr>
        <w:t xml:space="preserve"> was no</w:t>
      </w:r>
      <w:r>
        <w:rPr>
          <w:rFonts w:ascii="Arial" w:eastAsiaTheme="minorHAnsi" w:hAnsi="Arial" w:cs="Arial"/>
          <w:sz w:val="22"/>
          <w:szCs w:val="22"/>
        </w:rPr>
        <w:t xml:space="preserve">t trying to have sex with her.  </w:t>
      </w:r>
      <w:r w:rsidRPr="00BA5850">
        <w:rPr>
          <w:rFonts w:ascii="Arial" w:eastAsiaTheme="minorHAnsi" w:hAnsi="Arial" w:cs="Arial"/>
          <w:sz w:val="22"/>
          <w:szCs w:val="22"/>
        </w:rPr>
        <w:t>The State Attorney’s office declined to prosecute the charge of exposure of sexual organs.</w:t>
      </w:r>
    </w:p>
    <w:p w:rsidR="0000472E" w:rsidRDefault="0000472E" w:rsidP="0000472E">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4A3B1D">
        <w:rPr>
          <w:rFonts w:ascii="Arial" w:hAnsi="Arial" w:cs="Arial"/>
          <w:sz w:val="22"/>
          <w:szCs w:val="22"/>
        </w:rPr>
        <w:t>Suspension</w:t>
      </w:r>
      <w:r w:rsidR="006B6D7C">
        <w:rPr>
          <w:rFonts w:ascii="Arial" w:hAnsi="Arial" w:cs="Arial"/>
          <w:sz w:val="22"/>
          <w:szCs w:val="22"/>
        </w:rPr>
        <w:t xml:space="preserve"> to Revocation</w:t>
      </w:r>
    </w:p>
    <w:p w:rsidR="00BA5850" w:rsidRPr="00BA5850" w:rsidRDefault="00BA5850" w:rsidP="00BA5850">
      <w:pPr>
        <w:rPr>
          <w:rFonts w:ascii="Arial" w:hAnsi="Arial" w:cs="Arial"/>
          <w:sz w:val="22"/>
          <w:szCs w:val="22"/>
        </w:rPr>
      </w:pPr>
      <w:r w:rsidRPr="00BA5850">
        <w:rPr>
          <w:rFonts w:ascii="Arial" w:hAnsi="Arial" w:cs="Arial"/>
          <w:sz w:val="22"/>
          <w:szCs w:val="22"/>
        </w:rPr>
        <w:t>FDLE Prosecution requested a 1</w:t>
      </w:r>
      <w:r>
        <w:rPr>
          <w:rFonts w:ascii="Arial" w:hAnsi="Arial" w:cs="Arial"/>
          <w:sz w:val="22"/>
          <w:szCs w:val="22"/>
        </w:rPr>
        <w:t>5</w:t>
      </w:r>
      <w:r w:rsidRPr="00BA5850">
        <w:rPr>
          <w:rFonts w:ascii="Arial" w:hAnsi="Arial" w:cs="Arial"/>
          <w:sz w:val="22"/>
          <w:szCs w:val="22"/>
        </w:rPr>
        <w:t xml:space="preserve"> day prospective suspension; </w:t>
      </w:r>
      <w:r>
        <w:rPr>
          <w:rFonts w:ascii="Arial" w:hAnsi="Arial" w:cs="Arial"/>
          <w:sz w:val="22"/>
          <w:szCs w:val="22"/>
        </w:rPr>
        <w:t>1</w:t>
      </w:r>
      <w:r w:rsidR="00D21B4E">
        <w:rPr>
          <w:rFonts w:ascii="Arial" w:hAnsi="Arial" w:cs="Arial"/>
          <w:sz w:val="22"/>
          <w:szCs w:val="22"/>
        </w:rPr>
        <w:t xml:space="preserve"> </w:t>
      </w:r>
      <w:r>
        <w:rPr>
          <w:rFonts w:ascii="Arial" w:hAnsi="Arial" w:cs="Arial"/>
          <w:sz w:val="22"/>
          <w:szCs w:val="22"/>
        </w:rPr>
        <w:t>year</w:t>
      </w:r>
      <w:r w:rsidRPr="00BA5850">
        <w:rPr>
          <w:rFonts w:ascii="Arial" w:hAnsi="Arial" w:cs="Arial"/>
          <w:sz w:val="22"/>
          <w:szCs w:val="22"/>
        </w:rPr>
        <w:t xml:space="preserve"> probation to begin at the conclusion of the suspension period; provide staff with proof of successful completion of a Commission-approved ethics course prior to the end of the probationary period.</w:t>
      </w:r>
    </w:p>
    <w:p w:rsidR="00050CC8" w:rsidRPr="00A45961" w:rsidRDefault="00050CC8"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BA5850">
        <w:rPr>
          <w:rFonts w:ascii="Arial" w:hAnsi="Arial" w:cs="Arial"/>
          <w:sz w:val="22"/>
          <w:szCs w:val="22"/>
        </w:rPr>
        <w:t>rejected the requested penalty and voted to revoke the respondent’s certification</w:t>
      </w:r>
      <w:r w:rsidR="005A6DBF">
        <w:rPr>
          <w:rFonts w:ascii="Arial" w:hAnsi="Arial" w:cs="Arial"/>
          <w:sz w:val="22"/>
          <w:szCs w:val="22"/>
        </w:rPr>
        <w:t>.</w:t>
      </w:r>
    </w:p>
    <w:p w:rsidR="00C33F07" w:rsidRDefault="00C33F07" w:rsidP="008B0E3B">
      <w:pPr>
        <w:tabs>
          <w:tab w:val="left" w:pos="6120"/>
        </w:tabs>
        <w:rPr>
          <w:rFonts w:ascii="Arial" w:hAnsi="Arial" w:cs="Arial"/>
        </w:rPr>
      </w:pPr>
    </w:p>
    <w:p w:rsidR="00587113" w:rsidRDefault="00587113" w:rsidP="008B0E3B">
      <w:pPr>
        <w:tabs>
          <w:tab w:val="left" w:pos="6120"/>
        </w:tabs>
        <w:rPr>
          <w:rFonts w:ascii="Arial" w:hAnsi="Arial" w:cs="Arial"/>
        </w:rPr>
      </w:pPr>
    </w:p>
    <w:p w:rsidR="00B461FD" w:rsidRPr="00A45961" w:rsidRDefault="00B461FD" w:rsidP="008B0E3B">
      <w:pPr>
        <w:tabs>
          <w:tab w:val="left" w:pos="6120"/>
        </w:tabs>
        <w:rPr>
          <w:rFonts w:ascii="Arial" w:hAnsi="Arial" w:cs="Arial"/>
        </w:rPr>
      </w:pPr>
    </w:p>
    <w:p w:rsidR="00587113" w:rsidRDefault="00314997" w:rsidP="00587113">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F77C16">
        <w:rPr>
          <w:rFonts w:ascii="Arial" w:hAnsi="Arial" w:cs="Arial"/>
          <w:b/>
          <w:sz w:val="22"/>
          <w:szCs w:val="22"/>
        </w:rPr>
        <w:t>38279</w:t>
      </w:r>
      <w:r w:rsidR="00587113" w:rsidRPr="00587113">
        <w:rPr>
          <w:rFonts w:ascii="Arial" w:hAnsi="Arial" w:cs="Arial"/>
          <w:b/>
          <w:sz w:val="22"/>
          <w:szCs w:val="22"/>
        </w:rPr>
        <w:t xml:space="preserve"> Improper Exhibition of a Dangerous Weapon or Firearm</w:t>
      </w:r>
    </w:p>
    <w:p w:rsidR="00587113" w:rsidRDefault="00587113" w:rsidP="00587113">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ab/>
      </w:r>
      <w:r w:rsidRPr="00587113">
        <w:rPr>
          <w:rFonts w:ascii="Arial" w:hAnsi="Arial" w:cs="Arial"/>
          <w:b/>
          <w:sz w:val="22"/>
          <w:szCs w:val="22"/>
        </w:rPr>
        <w:t xml:space="preserve">Discharging a Firearm in Public </w:t>
      </w:r>
    </w:p>
    <w:p w:rsidR="00587113" w:rsidRPr="00587113" w:rsidRDefault="00587113" w:rsidP="00A56026">
      <w:pPr>
        <w:tabs>
          <w:tab w:val="left" w:pos="6120"/>
        </w:tabs>
        <w:jc w:val="both"/>
        <w:rPr>
          <w:rFonts w:ascii="Arial" w:hAnsi="Arial" w:cs="Arial"/>
          <w:noProof/>
          <w:sz w:val="22"/>
          <w:szCs w:val="22"/>
        </w:rPr>
      </w:pPr>
      <w:r>
        <w:rPr>
          <w:rFonts w:ascii="Arial" w:hAnsi="Arial" w:cs="Arial"/>
          <w:noProof/>
          <w:sz w:val="22"/>
          <w:szCs w:val="22"/>
        </w:rPr>
        <w:t xml:space="preserve">The respondent </w:t>
      </w:r>
      <w:r w:rsidRPr="00587113">
        <w:rPr>
          <w:rFonts w:ascii="Arial" w:hAnsi="Arial" w:cs="Arial"/>
          <w:noProof/>
          <w:sz w:val="22"/>
          <w:szCs w:val="22"/>
        </w:rPr>
        <w:t>was terminated from the Graceville Correctional Facility s</w:t>
      </w:r>
      <w:r>
        <w:rPr>
          <w:rFonts w:ascii="Arial" w:hAnsi="Arial" w:cs="Arial"/>
          <w:noProof/>
          <w:sz w:val="22"/>
          <w:szCs w:val="22"/>
        </w:rPr>
        <w:t xml:space="preserve">ubsequent to an </w:t>
      </w:r>
      <w:r w:rsidRPr="00587113">
        <w:rPr>
          <w:rFonts w:ascii="Arial" w:hAnsi="Arial" w:cs="Arial"/>
          <w:noProof/>
          <w:sz w:val="22"/>
          <w:szCs w:val="22"/>
        </w:rPr>
        <w:t>internal investigation which sustained</w:t>
      </w:r>
      <w:r>
        <w:rPr>
          <w:rFonts w:ascii="Arial" w:hAnsi="Arial" w:cs="Arial"/>
          <w:noProof/>
          <w:sz w:val="22"/>
          <w:szCs w:val="22"/>
        </w:rPr>
        <w:t xml:space="preserve"> two agency policy violations.  </w:t>
      </w:r>
      <w:r w:rsidRPr="00587113">
        <w:rPr>
          <w:rFonts w:ascii="Arial" w:hAnsi="Arial" w:cs="Arial"/>
          <w:noProof/>
          <w:sz w:val="22"/>
          <w:szCs w:val="22"/>
        </w:rPr>
        <w:t xml:space="preserve">On July 6, 2013, a deputy with the Santa Rosa County Sheriff’s Office was dispatched to a residence in reference to a firearm complaint.  Upon arrival, several witnesses advised that </w:t>
      </w:r>
      <w:r>
        <w:rPr>
          <w:rFonts w:ascii="Arial" w:hAnsi="Arial" w:cs="Arial"/>
          <w:noProof/>
          <w:sz w:val="22"/>
          <w:szCs w:val="22"/>
        </w:rPr>
        <w:t>the respondent</w:t>
      </w:r>
      <w:r w:rsidRPr="00587113">
        <w:rPr>
          <w:rFonts w:ascii="Arial" w:hAnsi="Arial" w:cs="Arial"/>
          <w:noProof/>
          <w:sz w:val="22"/>
          <w:szCs w:val="22"/>
        </w:rPr>
        <w:t xml:space="preserve"> was firing his weapon in the direction of occupied dwellings during a family gathering.  The witnesses advised that when they went to </w:t>
      </w:r>
      <w:r>
        <w:rPr>
          <w:rFonts w:ascii="Arial" w:hAnsi="Arial" w:cs="Arial"/>
          <w:noProof/>
          <w:sz w:val="22"/>
          <w:szCs w:val="22"/>
        </w:rPr>
        <w:t>the respondent</w:t>
      </w:r>
      <w:r w:rsidRPr="00587113">
        <w:rPr>
          <w:rFonts w:ascii="Arial" w:hAnsi="Arial" w:cs="Arial"/>
          <w:noProof/>
          <w:sz w:val="22"/>
          <w:szCs w:val="22"/>
        </w:rPr>
        <w:t>’s home to explain that his discharged ammunition was hitting family members, he began brandishing his firearm in one hand,</w:t>
      </w:r>
      <w:r w:rsidR="00CA4FC9">
        <w:rPr>
          <w:rFonts w:ascii="Arial" w:hAnsi="Arial" w:cs="Arial"/>
          <w:noProof/>
          <w:sz w:val="22"/>
          <w:szCs w:val="22"/>
        </w:rPr>
        <w:t xml:space="preserve"> while</w:t>
      </w:r>
      <w:r w:rsidRPr="00587113">
        <w:rPr>
          <w:rFonts w:ascii="Arial" w:hAnsi="Arial" w:cs="Arial"/>
          <w:noProof/>
          <w:sz w:val="22"/>
          <w:szCs w:val="22"/>
        </w:rPr>
        <w:t xml:space="preserve"> holding a beer in the other hand.  </w:t>
      </w:r>
      <w:r>
        <w:rPr>
          <w:rFonts w:ascii="Arial" w:hAnsi="Arial" w:cs="Arial"/>
          <w:noProof/>
          <w:sz w:val="22"/>
          <w:szCs w:val="22"/>
        </w:rPr>
        <w:t>The respondent</w:t>
      </w:r>
      <w:r w:rsidRPr="00587113">
        <w:rPr>
          <w:rFonts w:ascii="Arial" w:hAnsi="Arial" w:cs="Arial"/>
          <w:noProof/>
          <w:sz w:val="22"/>
          <w:szCs w:val="22"/>
        </w:rPr>
        <w:t xml:space="preserve"> argued with them, became very angry</w:t>
      </w:r>
      <w:r w:rsidR="00CA4FC9">
        <w:rPr>
          <w:rFonts w:ascii="Arial" w:hAnsi="Arial" w:cs="Arial"/>
          <w:noProof/>
          <w:sz w:val="22"/>
          <w:szCs w:val="22"/>
        </w:rPr>
        <w:t>,</w:t>
      </w:r>
      <w:r w:rsidRPr="00587113">
        <w:rPr>
          <w:rFonts w:ascii="Arial" w:hAnsi="Arial" w:cs="Arial"/>
          <w:noProof/>
          <w:sz w:val="22"/>
          <w:szCs w:val="22"/>
        </w:rPr>
        <w:t xml:space="preserve"> and recklessly fired his weapon into the air in front of them.  The deputy then made contact with </w:t>
      </w:r>
      <w:r>
        <w:rPr>
          <w:rFonts w:ascii="Arial" w:hAnsi="Arial" w:cs="Arial"/>
          <w:noProof/>
          <w:sz w:val="22"/>
          <w:szCs w:val="22"/>
        </w:rPr>
        <w:t>the respondent</w:t>
      </w:r>
      <w:r w:rsidRPr="00587113">
        <w:rPr>
          <w:rFonts w:ascii="Arial" w:hAnsi="Arial" w:cs="Arial"/>
          <w:noProof/>
          <w:sz w:val="22"/>
          <w:szCs w:val="22"/>
        </w:rPr>
        <w:t xml:space="preserve"> who advised that nothing unusual occurred that evening and that he was outside shooting his rifle in the backyard.  The deputy explained to </w:t>
      </w:r>
      <w:r>
        <w:rPr>
          <w:rFonts w:ascii="Arial" w:hAnsi="Arial" w:cs="Arial"/>
          <w:noProof/>
          <w:sz w:val="22"/>
          <w:szCs w:val="22"/>
        </w:rPr>
        <w:t>the respondent</w:t>
      </w:r>
      <w:r w:rsidRPr="00587113">
        <w:rPr>
          <w:rFonts w:ascii="Arial" w:hAnsi="Arial" w:cs="Arial"/>
          <w:noProof/>
          <w:sz w:val="22"/>
          <w:szCs w:val="22"/>
        </w:rPr>
        <w:t xml:space="preserve"> that he was at his home because </w:t>
      </w:r>
      <w:r w:rsidRPr="00587113">
        <w:rPr>
          <w:rFonts w:ascii="Arial" w:hAnsi="Arial" w:cs="Arial"/>
          <w:noProof/>
          <w:sz w:val="22"/>
          <w:szCs w:val="22"/>
        </w:rPr>
        <w:lastRenderedPageBreak/>
        <w:t xml:space="preserve">neighbors were being hit by pellets that they believed came from </w:t>
      </w:r>
      <w:r>
        <w:rPr>
          <w:rFonts w:ascii="Arial" w:hAnsi="Arial" w:cs="Arial"/>
          <w:noProof/>
          <w:sz w:val="22"/>
          <w:szCs w:val="22"/>
        </w:rPr>
        <w:t>the respondent</w:t>
      </w:r>
      <w:r w:rsidRPr="00587113">
        <w:rPr>
          <w:rFonts w:ascii="Arial" w:hAnsi="Arial" w:cs="Arial"/>
          <w:noProof/>
          <w:sz w:val="22"/>
          <w:szCs w:val="22"/>
        </w:rPr>
        <w:t xml:space="preserve">’s property.  </w:t>
      </w:r>
      <w:r>
        <w:rPr>
          <w:rFonts w:ascii="Arial" w:hAnsi="Arial" w:cs="Arial"/>
          <w:noProof/>
          <w:sz w:val="22"/>
          <w:szCs w:val="22"/>
        </w:rPr>
        <w:t>The respondent</w:t>
      </w:r>
      <w:r w:rsidRPr="00587113">
        <w:rPr>
          <w:rFonts w:ascii="Arial" w:hAnsi="Arial" w:cs="Arial"/>
          <w:noProof/>
          <w:sz w:val="22"/>
          <w:szCs w:val="22"/>
        </w:rPr>
        <w:t xml:space="preserve"> advised that he has had problems with a set of neighbors, saying they harass him constantly and sometimes follow him home.  The deputy could smell the odor of alcoholic beverages emitting from </w:t>
      </w:r>
      <w:r>
        <w:rPr>
          <w:rFonts w:ascii="Arial" w:hAnsi="Arial" w:cs="Arial"/>
          <w:noProof/>
          <w:sz w:val="22"/>
          <w:szCs w:val="22"/>
        </w:rPr>
        <w:t>the respondent</w:t>
      </w:r>
      <w:r w:rsidRPr="00587113">
        <w:rPr>
          <w:rFonts w:ascii="Arial" w:hAnsi="Arial" w:cs="Arial"/>
          <w:noProof/>
          <w:sz w:val="22"/>
          <w:szCs w:val="22"/>
        </w:rPr>
        <w:t xml:space="preserve">’s person, noticed </w:t>
      </w:r>
      <w:r>
        <w:rPr>
          <w:rFonts w:ascii="Arial" w:hAnsi="Arial" w:cs="Arial"/>
          <w:noProof/>
          <w:sz w:val="22"/>
          <w:szCs w:val="22"/>
        </w:rPr>
        <w:t xml:space="preserve">his speech was </w:t>
      </w:r>
      <w:r w:rsidR="00A56026">
        <w:rPr>
          <w:rFonts w:ascii="Arial" w:hAnsi="Arial" w:cs="Arial"/>
          <w:noProof/>
          <w:sz w:val="22"/>
          <w:szCs w:val="22"/>
        </w:rPr>
        <w:t xml:space="preserve">slurred, </w:t>
      </w:r>
      <w:r w:rsidRPr="00587113">
        <w:rPr>
          <w:rFonts w:ascii="Arial" w:hAnsi="Arial" w:cs="Arial"/>
          <w:noProof/>
          <w:sz w:val="22"/>
          <w:szCs w:val="22"/>
        </w:rPr>
        <w:t xml:space="preserve">that </w:t>
      </w:r>
      <w:r>
        <w:rPr>
          <w:rFonts w:ascii="Arial" w:hAnsi="Arial" w:cs="Arial"/>
          <w:noProof/>
          <w:sz w:val="22"/>
          <w:szCs w:val="22"/>
        </w:rPr>
        <w:t>he</w:t>
      </w:r>
      <w:r w:rsidRPr="00587113">
        <w:rPr>
          <w:rFonts w:ascii="Arial" w:hAnsi="Arial" w:cs="Arial"/>
          <w:noProof/>
          <w:sz w:val="22"/>
          <w:szCs w:val="22"/>
        </w:rPr>
        <w:t xml:space="preserve"> hesitated when speaking</w:t>
      </w:r>
      <w:r w:rsidR="00A56026">
        <w:rPr>
          <w:rFonts w:ascii="Arial" w:hAnsi="Arial" w:cs="Arial"/>
          <w:noProof/>
          <w:sz w:val="22"/>
          <w:szCs w:val="22"/>
        </w:rPr>
        <w:t>, and noticed him stagger several times</w:t>
      </w:r>
      <w:r w:rsidRPr="00587113">
        <w:rPr>
          <w:rFonts w:ascii="Arial" w:hAnsi="Arial" w:cs="Arial"/>
          <w:noProof/>
          <w:sz w:val="22"/>
          <w:szCs w:val="22"/>
        </w:rPr>
        <w:t xml:space="preserve">.  When asked, </w:t>
      </w:r>
      <w:r w:rsidR="00A56026">
        <w:rPr>
          <w:rFonts w:ascii="Arial" w:hAnsi="Arial" w:cs="Arial"/>
          <w:noProof/>
          <w:sz w:val="22"/>
          <w:szCs w:val="22"/>
        </w:rPr>
        <w:t>t</w:t>
      </w:r>
      <w:r>
        <w:rPr>
          <w:rFonts w:ascii="Arial" w:hAnsi="Arial" w:cs="Arial"/>
          <w:noProof/>
          <w:sz w:val="22"/>
          <w:szCs w:val="22"/>
        </w:rPr>
        <w:t>he respondent</w:t>
      </w:r>
      <w:r w:rsidRPr="00587113">
        <w:rPr>
          <w:rFonts w:ascii="Arial" w:hAnsi="Arial" w:cs="Arial"/>
          <w:noProof/>
          <w:sz w:val="22"/>
          <w:szCs w:val="22"/>
        </w:rPr>
        <w:t xml:space="preserve"> admitted to having consumed alcohol that evening.  </w:t>
      </w:r>
      <w:r>
        <w:rPr>
          <w:rFonts w:ascii="Arial" w:hAnsi="Arial" w:cs="Arial"/>
          <w:noProof/>
          <w:sz w:val="22"/>
          <w:szCs w:val="22"/>
        </w:rPr>
        <w:t>The respondent</w:t>
      </w:r>
      <w:r w:rsidRPr="00587113">
        <w:rPr>
          <w:rFonts w:ascii="Arial" w:hAnsi="Arial" w:cs="Arial"/>
          <w:noProof/>
          <w:sz w:val="22"/>
          <w:szCs w:val="22"/>
        </w:rPr>
        <w:t xml:space="preserve"> was arrested for Improper Exhibition of a Dangerous Weapon or Firearm, Discharging a Firearm in Public or on Residential Property, and Using a Firearm while Under the Influence of Alcoholic Beverages, Chemical Substan</w:t>
      </w:r>
      <w:r w:rsidR="00A56026">
        <w:rPr>
          <w:rFonts w:ascii="Arial" w:hAnsi="Arial" w:cs="Arial"/>
          <w:noProof/>
          <w:sz w:val="22"/>
          <w:szCs w:val="22"/>
        </w:rPr>
        <w:t xml:space="preserve">ces or Controlled Substances.  </w:t>
      </w:r>
      <w:r w:rsidRPr="00587113">
        <w:rPr>
          <w:rFonts w:ascii="Arial" w:hAnsi="Arial" w:cs="Arial"/>
          <w:noProof/>
          <w:sz w:val="22"/>
          <w:szCs w:val="22"/>
        </w:rPr>
        <w:t xml:space="preserve">On November 6, 2013, </w:t>
      </w:r>
      <w:r w:rsidR="00A56026">
        <w:rPr>
          <w:rFonts w:ascii="Arial" w:hAnsi="Arial" w:cs="Arial"/>
          <w:noProof/>
          <w:sz w:val="22"/>
          <w:szCs w:val="22"/>
        </w:rPr>
        <w:t>t</w:t>
      </w:r>
      <w:r>
        <w:rPr>
          <w:rFonts w:ascii="Arial" w:hAnsi="Arial" w:cs="Arial"/>
          <w:noProof/>
          <w:sz w:val="22"/>
          <w:szCs w:val="22"/>
        </w:rPr>
        <w:t>he respondent</w:t>
      </w:r>
      <w:r w:rsidRPr="00587113">
        <w:rPr>
          <w:rFonts w:ascii="Arial" w:hAnsi="Arial" w:cs="Arial"/>
          <w:noProof/>
          <w:sz w:val="22"/>
          <w:szCs w:val="22"/>
        </w:rPr>
        <w:t xml:space="preserve"> entered into a pretrial diversion program</w:t>
      </w:r>
      <w:r w:rsidR="00A56026">
        <w:rPr>
          <w:rFonts w:ascii="Arial" w:hAnsi="Arial" w:cs="Arial"/>
          <w:noProof/>
          <w:sz w:val="22"/>
          <w:szCs w:val="22"/>
        </w:rPr>
        <w:t xml:space="preserve"> which</w:t>
      </w:r>
      <w:r w:rsidRPr="00587113">
        <w:rPr>
          <w:rFonts w:ascii="Arial" w:hAnsi="Arial" w:cs="Arial"/>
          <w:noProof/>
          <w:sz w:val="22"/>
          <w:szCs w:val="22"/>
        </w:rPr>
        <w:t xml:space="preserve"> required </w:t>
      </w:r>
      <w:r w:rsidR="00A56026">
        <w:rPr>
          <w:rFonts w:ascii="Arial" w:hAnsi="Arial" w:cs="Arial"/>
          <w:noProof/>
          <w:sz w:val="22"/>
          <w:szCs w:val="22"/>
        </w:rPr>
        <w:t>th</w:t>
      </w:r>
      <w:r>
        <w:rPr>
          <w:rFonts w:ascii="Arial" w:hAnsi="Arial" w:cs="Arial"/>
          <w:noProof/>
          <w:sz w:val="22"/>
          <w:szCs w:val="22"/>
        </w:rPr>
        <w:t>e respondent</w:t>
      </w:r>
      <w:r w:rsidRPr="00587113">
        <w:rPr>
          <w:rFonts w:ascii="Arial" w:hAnsi="Arial" w:cs="Arial"/>
          <w:noProof/>
          <w:sz w:val="22"/>
          <w:szCs w:val="22"/>
        </w:rPr>
        <w:t xml:space="preserve"> </w:t>
      </w:r>
      <w:r w:rsidR="00A56026">
        <w:rPr>
          <w:rFonts w:ascii="Arial" w:hAnsi="Arial" w:cs="Arial"/>
          <w:noProof/>
          <w:sz w:val="22"/>
          <w:szCs w:val="22"/>
        </w:rPr>
        <w:t xml:space="preserve">to </w:t>
      </w:r>
      <w:r w:rsidRPr="00587113">
        <w:rPr>
          <w:rFonts w:ascii="Arial" w:hAnsi="Arial" w:cs="Arial"/>
          <w:noProof/>
          <w:sz w:val="22"/>
          <w:szCs w:val="22"/>
        </w:rPr>
        <w:t xml:space="preserve">complete a substance abuse evaluation, complete a </w:t>
      </w:r>
      <w:r w:rsidR="00A56026">
        <w:rPr>
          <w:rFonts w:ascii="Arial" w:hAnsi="Arial" w:cs="Arial"/>
          <w:noProof/>
          <w:sz w:val="22"/>
          <w:szCs w:val="22"/>
        </w:rPr>
        <w:t>firearms safety c</w:t>
      </w:r>
      <w:r w:rsidRPr="00587113">
        <w:rPr>
          <w:rFonts w:ascii="Arial" w:hAnsi="Arial" w:cs="Arial"/>
          <w:noProof/>
          <w:sz w:val="22"/>
          <w:szCs w:val="22"/>
        </w:rPr>
        <w:t xml:space="preserve">ourse, complete fifty hours of community service, submit to random urinalysis testing, and </w:t>
      </w:r>
      <w:r w:rsidR="00A56026">
        <w:rPr>
          <w:rFonts w:ascii="Arial" w:hAnsi="Arial" w:cs="Arial"/>
          <w:noProof/>
          <w:sz w:val="22"/>
          <w:szCs w:val="22"/>
        </w:rPr>
        <w:t xml:space="preserve">the </w:t>
      </w:r>
      <w:r w:rsidRPr="00587113">
        <w:rPr>
          <w:rFonts w:ascii="Arial" w:hAnsi="Arial" w:cs="Arial"/>
          <w:noProof/>
          <w:sz w:val="22"/>
          <w:szCs w:val="22"/>
        </w:rPr>
        <w:t xml:space="preserve">payment of various court costs and fines. </w:t>
      </w:r>
    </w:p>
    <w:p w:rsidR="00F77C16" w:rsidRPr="00F77C16" w:rsidRDefault="00F77C16" w:rsidP="00F77C16">
      <w:pPr>
        <w:jc w:val="both"/>
        <w:rPr>
          <w:rFonts w:ascii="Arial" w:hAnsi="Arial" w:cs="Arial"/>
          <w:noProof/>
          <w:sz w:val="22"/>
          <w:szCs w:val="22"/>
          <w:u w:val="single"/>
        </w:rPr>
      </w:pPr>
    </w:p>
    <w:p w:rsidR="00D21B4E" w:rsidRDefault="00726980"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A56026">
        <w:rPr>
          <w:rFonts w:ascii="Arial" w:hAnsi="Arial" w:cs="Arial"/>
          <w:sz w:val="22"/>
          <w:szCs w:val="22"/>
        </w:rPr>
        <w:t>Probation with Training; Probation to Suspension</w:t>
      </w:r>
    </w:p>
    <w:p w:rsidR="00D21B4E" w:rsidRPr="00D21B4E" w:rsidRDefault="00D21B4E" w:rsidP="00D21B4E">
      <w:pPr>
        <w:jc w:val="both"/>
        <w:rPr>
          <w:rFonts w:ascii="Arial" w:hAnsi="Arial" w:cs="Arial"/>
          <w:sz w:val="22"/>
          <w:szCs w:val="22"/>
        </w:rPr>
      </w:pPr>
      <w:r w:rsidRPr="00D21B4E">
        <w:rPr>
          <w:rFonts w:ascii="Arial" w:hAnsi="Arial" w:cs="Arial"/>
          <w:sz w:val="22"/>
          <w:szCs w:val="22"/>
        </w:rPr>
        <w:t xml:space="preserve">FDLE Prosecution requested a </w:t>
      </w:r>
      <w:r>
        <w:rPr>
          <w:rFonts w:ascii="Arial" w:hAnsi="Arial" w:cs="Arial"/>
          <w:sz w:val="22"/>
          <w:szCs w:val="22"/>
        </w:rPr>
        <w:t>60</w:t>
      </w:r>
      <w:r w:rsidRPr="00D21B4E">
        <w:rPr>
          <w:rFonts w:ascii="Arial" w:hAnsi="Arial" w:cs="Arial"/>
          <w:sz w:val="22"/>
          <w:szCs w:val="22"/>
        </w:rPr>
        <w:t xml:space="preserve"> day prospective suspension; 1</w:t>
      </w:r>
      <w:r>
        <w:rPr>
          <w:rFonts w:ascii="Arial" w:hAnsi="Arial" w:cs="Arial"/>
          <w:sz w:val="22"/>
          <w:szCs w:val="22"/>
        </w:rPr>
        <w:t xml:space="preserve"> </w:t>
      </w:r>
      <w:r w:rsidRPr="00D21B4E">
        <w:rPr>
          <w:rFonts w:ascii="Arial" w:hAnsi="Arial" w:cs="Arial"/>
          <w:sz w:val="22"/>
          <w:szCs w:val="22"/>
        </w:rPr>
        <w:t xml:space="preserve">year probation to begin at the conclusion of the suspension period; provide staff with proof of successful completion of Commission-approved </w:t>
      </w:r>
      <w:r>
        <w:rPr>
          <w:rFonts w:ascii="Arial" w:hAnsi="Arial" w:cs="Arial"/>
          <w:sz w:val="22"/>
          <w:szCs w:val="22"/>
        </w:rPr>
        <w:t>remedial firearms training</w:t>
      </w:r>
      <w:r w:rsidRPr="00D21B4E">
        <w:rPr>
          <w:rFonts w:ascii="Arial" w:hAnsi="Arial" w:cs="Arial"/>
          <w:sz w:val="22"/>
          <w:szCs w:val="22"/>
        </w:rPr>
        <w:t xml:space="preserve"> prior to the end of the probationary period.</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 xml:space="preserve">accepted </w:t>
      </w:r>
      <w:r w:rsidR="00D21B4E">
        <w:rPr>
          <w:rFonts w:ascii="Arial" w:hAnsi="Arial" w:cs="Arial"/>
          <w:sz w:val="22"/>
          <w:szCs w:val="22"/>
        </w:rPr>
        <w:t>the requested penalty</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B46738" w:rsidRDefault="00B46738" w:rsidP="008B0E3B">
      <w:pPr>
        <w:tabs>
          <w:tab w:val="left" w:pos="720"/>
        </w:tabs>
        <w:jc w:val="both"/>
        <w:rPr>
          <w:rFonts w:ascii="Arial" w:hAnsi="Arial" w:cs="Arial"/>
          <w:sz w:val="22"/>
          <w:szCs w:val="22"/>
        </w:rPr>
      </w:pPr>
    </w:p>
    <w:p w:rsidR="00E27AD3" w:rsidRPr="00A45961" w:rsidRDefault="00E27AD3" w:rsidP="008B0E3B">
      <w:pPr>
        <w:rPr>
          <w:rFonts w:ascii="Arial" w:hAnsi="Arial" w:cs="Arial"/>
        </w:rPr>
      </w:pPr>
    </w:p>
    <w:p w:rsidR="00B46738" w:rsidRDefault="00314997" w:rsidP="00B46738">
      <w:pPr>
        <w:spacing w:after="200" w:line="276" w:lineRule="auto"/>
        <w:contextualSpacing/>
        <w:rPr>
          <w:rFonts w:ascii="Arial" w:eastAsiaTheme="minorHAnsi" w:hAnsi="Arial" w:cs="Arial"/>
          <w:b/>
          <w:iCs/>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547AF9">
        <w:rPr>
          <w:rFonts w:ascii="Arial" w:eastAsiaTheme="minorHAnsi" w:hAnsi="Arial" w:cs="Arial"/>
          <w:b/>
          <w:sz w:val="22"/>
          <w:szCs w:val="22"/>
        </w:rPr>
        <w:t>3</w:t>
      </w:r>
      <w:r w:rsidR="00B46738">
        <w:rPr>
          <w:rFonts w:ascii="Arial" w:eastAsiaTheme="minorHAnsi" w:hAnsi="Arial" w:cs="Arial"/>
          <w:b/>
          <w:sz w:val="22"/>
          <w:szCs w:val="22"/>
        </w:rPr>
        <w:t>7944</w:t>
      </w:r>
      <w:r w:rsidR="00547AF9">
        <w:rPr>
          <w:rFonts w:ascii="Arial" w:eastAsiaTheme="minorHAnsi" w:hAnsi="Arial" w:cs="Arial"/>
          <w:b/>
          <w:sz w:val="22"/>
          <w:szCs w:val="22"/>
        </w:rPr>
        <w:t>-</w:t>
      </w:r>
      <w:r w:rsidR="00B46738">
        <w:rPr>
          <w:rFonts w:ascii="Times New Roman" w:hAnsi="Times New Roman"/>
          <w:noProof/>
          <w:sz w:val="22"/>
          <w:szCs w:val="22"/>
        </w:rPr>
        <w:t xml:space="preserve"> </w:t>
      </w:r>
      <w:r w:rsidR="00B46738" w:rsidRPr="00B46738">
        <w:rPr>
          <w:rFonts w:ascii="Arial" w:eastAsiaTheme="minorHAnsi" w:hAnsi="Arial" w:cs="Arial"/>
          <w:b/>
          <w:iCs/>
          <w:sz w:val="22"/>
          <w:szCs w:val="22"/>
        </w:rPr>
        <w:t>Resisting an Officer without Violence</w:t>
      </w:r>
    </w:p>
    <w:p w:rsidR="00B46738" w:rsidRPr="00046E18" w:rsidRDefault="00B46738" w:rsidP="00B46738">
      <w:pPr>
        <w:spacing w:after="200" w:line="276" w:lineRule="auto"/>
        <w:ind w:left="720" w:firstLine="720"/>
        <w:contextualSpacing/>
        <w:rPr>
          <w:rFonts w:ascii="Arial" w:eastAsiaTheme="minorHAnsi" w:hAnsi="Arial" w:cs="Arial"/>
          <w:b/>
          <w:iCs/>
          <w:sz w:val="22"/>
          <w:szCs w:val="22"/>
        </w:rPr>
      </w:pPr>
      <w:r w:rsidRPr="00046E18">
        <w:rPr>
          <w:rFonts w:ascii="Arial" w:eastAsiaTheme="minorHAnsi" w:hAnsi="Arial" w:cs="Arial"/>
          <w:b/>
          <w:iCs/>
          <w:sz w:val="22"/>
          <w:szCs w:val="22"/>
        </w:rPr>
        <w:t xml:space="preserve"> Trespass in an Occupied Structure or Conveyance</w:t>
      </w:r>
    </w:p>
    <w:p w:rsidR="00314997" w:rsidRPr="00046E18" w:rsidRDefault="00046E18" w:rsidP="00046E18">
      <w:pPr>
        <w:pBdr>
          <w:bottom w:val="single" w:sz="4" w:space="1" w:color="auto"/>
        </w:pBdr>
        <w:spacing w:after="200" w:line="276" w:lineRule="auto"/>
        <w:contextualSpacing/>
        <w:rPr>
          <w:rFonts w:ascii="Arial" w:eastAsiaTheme="minorHAnsi" w:hAnsi="Arial" w:cs="Arial"/>
          <w:b/>
          <w:iCs/>
          <w:sz w:val="22"/>
          <w:szCs w:val="22"/>
        </w:rPr>
      </w:pPr>
      <w:r w:rsidRPr="00046E18">
        <w:rPr>
          <w:rFonts w:ascii="Arial" w:eastAsiaTheme="minorHAnsi" w:hAnsi="Arial" w:cs="Arial"/>
          <w:b/>
          <w:iCs/>
          <w:sz w:val="22"/>
          <w:szCs w:val="22"/>
        </w:rPr>
        <w:t xml:space="preserve">                        </w:t>
      </w:r>
      <w:r w:rsidR="00B46738" w:rsidRPr="00046E18">
        <w:rPr>
          <w:rFonts w:ascii="Arial" w:eastAsiaTheme="minorHAnsi" w:hAnsi="Arial" w:cs="Arial"/>
          <w:b/>
          <w:iCs/>
          <w:sz w:val="22"/>
          <w:szCs w:val="22"/>
        </w:rPr>
        <w:t>Carrying a Concealed Weapon</w:t>
      </w:r>
    </w:p>
    <w:p w:rsidR="00B46738" w:rsidRPr="00B46738" w:rsidRDefault="00B46738" w:rsidP="00B46738">
      <w:pPr>
        <w:spacing w:after="200" w:line="276" w:lineRule="auto"/>
        <w:contextualSpacing/>
        <w:jc w:val="both"/>
        <w:rPr>
          <w:rFonts w:ascii="Arial" w:eastAsiaTheme="minorHAnsi" w:hAnsi="Arial" w:cs="Arial"/>
          <w:iCs/>
          <w:sz w:val="22"/>
          <w:szCs w:val="22"/>
        </w:rPr>
      </w:pPr>
      <w:r w:rsidRPr="00B46738">
        <w:rPr>
          <w:rFonts w:ascii="Arial" w:eastAsiaTheme="minorHAnsi" w:hAnsi="Arial" w:cs="Arial"/>
          <w:iCs/>
          <w:sz w:val="22"/>
          <w:szCs w:val="22"/>
        </w:rPr>
        <w:t>The respondent was terminated from the Department of Corrections subsequent to an internal investigation which sustained charges for Resisting an Officer without Violence, Trespass on Property after Warning</w:t>
      </w:r>
      <w:r>
        <w:rPr>
          <w:rFonts w:ascii="Arial" w:eastAsiaTheme="minorHAnsi" w:hAnsi="Arial" w:cs="Arial"/>
          <w:iCs/>
          <w:sz w:val="22"/>
          <w:szCs w:val="22"/>
        </w:rPr>
        <w:t>,</w:t>
      </w:r>
      <w:r w:rsidRPr="00B46738">
        <w:rPr>
          <w:rFonts w:ascii="Arial" w:eastAsiaTheme="minorHAnsi" w:hAnsi="Arial" w:cs="Arial"/>
          <w:iCs/>
          <w:sz w:val="22"/>
          <w:szCs w:val="22"/>
        </w:rPr>
        <w:t xml:space="preserve"> and Carrying a</w:t>
      </w:r>
      <w:r>
        <w:rPr>
          <w:rFonts w:ascii="Arial" w:eastAsiaTheme="minorHAnsi" w:hAnsi="Arial" w:cs="Arial"/>
          <w:iCs/>
          <w:sz w:val="22"/>
          <w:szCs w:val="22"/>
        </w:rPr>
        <w:t xml:space="preserve"> Concealed Weapon.  </w:t>
      </w:r>
      <w:r w:rsidRPr="00B46738">
        <w:rPr>
          <w:rFonts w:ascii="Arial" w:eastAsiaTheme="minorHAnsi" w:hAnsi="Arial" w:cs="Arial"/>
          <w:iCs/>
          <w:sz w:val="22"/>
          <w:szCs w:val="22"/>
        </w:rPr>
        <w:t xml:space="preserve">On October 9, 2014, deputies were working an </w:t>
      </w:r>
      <w:r>
        <w:rPr>
          <w:rFonts w:ascii="Arial" w:eastAsiaTheme="minorHAnsi" w:hAnsi="Arial" w:cs="Arial"/>
          <w:iCs/>
          <w:sz w:val="22"/>
          <w:szCs w:val="22"/>
        </w:rPr>
        <w:t>off-</w:t>
      </w:r>
      <w:r w:rsidRPr="00B46738">
        <w:rPr>
          <w:rFonts w:ascii="Arial" w:eastAsiaTheme="minorHAnsi" w:hAnsi="Arial" w:cs="Arial"/>
          <w:iCs/>
          <w:sz w:val="22"/>
          <w:szCs w:val="22"/>
        </w:rPr>
        <w:t xml:space="preserve">duty law enforcement detail at a local establishment.  They were wearing agency uniforms and stood near a clearly visible patrol vehicle. </w:t>
      </w:r>
      <w:r>
        <w:rPr>
          <w:rFonts w:ascii="Arial" w:eastAsiaTheme="minorHAnsi" w:hAnsi="Arial" w:cs="Arial"/>
          <w:iCs/>
          <w:sz w:val="22"/>
          <w:szCs w:val="22"/>
        </w:rPr>
        <w:t xml:space="preserve"> </w:t>
      </w:r>
      <w:r w:rsidRPr="00B46738">
        <w:rPr>
          <w:rFonts w:ascii="Arial" w:eastAsiaTheme="minorHAnsi" w:hAnsi="Arial" w:cs="Arial"/>
          <w:iCs/>
          <w:sz w:val="22"/>
          <w:szCs w:val="22"/>
        </w:rPr>
        <w:t xml:space="preserve">One of the deputies observed a male, later identified as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in a verbal argument with two </w:t>
      </w:r>
      <w:r>
        <w:rPr>
          <w:rFonts w:ascii="Arial" w:eastAsiaTheme="minorHAnsi" w:hAnsi="Arial" w:cs="Arial"/>
          <w:iCs/>
          <w:sz w:val="22"/>
          <w:szCs w:val="22"/>
        </w:rPr>
        <w:t>males and a female</w:t>
      </w:r>
      <w:r w:rsidRPr="00B46738">
        <w:rPr>
          <w:rFonts w:ascii="Arial" w:eastAsiaTheme="minorHAnsi" w:hAnsi="Arial" w:cs="Arial"/>
          <w:iCs/>
          <w:sz w:val="22"/>
          <w:szCs w:val="22"/>
        </w:rPr>
        <w:t xml:space="preserve">.  The establishment’s security informed the deputy that he wanted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removed from the property because he was causing a disturbance and trying to </w:t>
      </w:r>
      <w:r w:rsidR="005C15F0">
        <w:rPr>
          <w:rFonts w:ascii="Arial" w:eastAsiaTheme="minorHAnsi" w:hAnsi="Arial" w:cs="Arial"/>
          <w:iCs/>
          <w:sz w:val="22"/>
          <w:szCs w:val="22"/>
        </w:rPr>
        <w:t xml:space="preserve">start fights with random people.  </w:t>
      </w:r>
      <w:r w:rsidRPr="00B46738">
        <w:rPr>
          <w:rFonts w:ascii="Arial" w:eastAsiaTheme="minorHAnsi" w:hAnsi="Arial" w:cs="Arial"/>
          <w:iCs/>
          <w:sz w:val="22"/>
          <w:szCs w:val="22"/>
        </w:rPr>
        <w:t xml:space="preserve">The deputy </w:t>
      </w:r>
      <w:r w:rsidR="005C15F0">
        <w:rPr>
          <w:rFonts w:ascii="Arial" w:eastAsiaTheme="minorHAnsi" w:hAnsi="Arial" w:cs="Arial"/>
          <w:iCs/>
          <w:sz w:val="22"/>
          <w:szCs w:val="22"/>
        </w:rPr>
        <w:t>told</w:t>
      </w:r>
      <w:r w:rsidRPr="00B46738">
        <w:rPr>
          <w:rFonts w:ascii="Arial" w:eastAsiaTheme="minorHAnsi" w:hAnsi="Arial" w:cs="Arial"/>
          <w:iCs/>
          <w:sz w:val="22"/>
          <w:szCs w:val="22"/>
        </w:rPr>
        <w:t xml:space="preserve"> </w:t>
      </w:r>
      <w:r w:rsidR="005C15F0">
        <w:rPr>
          <w:rFonts w:ascii="Arial" w:eastAsiaTheme="minorHAnsi" w:hAnsi="Arial" w:cs="Arial"/>
          <w:iCs/>
          <w:sz w:val="22"/>
          <w:szCs w:val="22"/>
        </w:rPr>
        <w:t>t</w:t>
      </w:r>
      <w:r>
        <w:rPr>
          <w:rFonts w:ascii="Arial" w:eastAsiaTheme="minorHAnsi" w:hAnsi="Arial" w:cs="Arial"/>
          <w:iCs/>
          <w:sz w:val="22"/>
          <w:szCs w:val="22"/>
        </w:rPr>
        <w:t>he respondent</w:t>
      </w:r>
      <w:r w:rsidRPr="00B46738">
        <w:rPr>
          <w:rFonts w:ascii="Arial" w:eastAsiaTheme="minorHAnsi" w:hAnsi="Arial" w:cs="Arial"/>
          <w:iCs/>
          <w:sz w:val="22"/>
          <w:szCs w:val="22"/>
        </w:rPr>
        <w:t xml:space="preserve"> to leave the property and not to return.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exited and walked away from the property.  Approximately five minutes later, the deputy observed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standing in line to get back into the establishment.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was standing with an unknown male who had also been kicked out for fighting approximately ten minutes earlier.  Two deputies approached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and informed him he needed to leave immediately. </w:t>
      </w:r>
      <w:r w:rsidR="005C15F0">
        <w:rPr>
          <w:rFonts w:ascii="Arial" w:eastAsiaTheme="minorHAnsi" w:hAnsi="Arial" w:cs="Arial"/>
          <w:iCs/>
          <w:sz w:val="22"/>
          <w:szCs w:val="22"/>
        </w:rPr>
        <w:t xml:space="preserve">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refused to move. </w:t>
      </w:r>
      <w:r w:rsidR="005C15F0">
        <w:rPr>
          <w:rFonts w:ascii="Arial" w:eastAsiaTheme="minorHAnsi" w:hAnsi="Arial" w:cs="Arial"/>
          <w:iCs/>
          <w:sz w:val="22"/>
          <w:szCs w:val="22"/>
        </w:rPr>
        <w:t xml:space="preserve"> </w:t>
      </w:r>
      <w:r w:rsidRPr="00B46738">
        <w:rPr>
          <w:rFonts w:ascii="Arial" w:eastAsiaTheme="minorHAnsi" w:hAnsi="Arial" w:cs="Arial"/>
          <w:iCs/>
          <w:sz w:val="22"/>
          <w:szCs w:val="22"/>
        </w:rPr>
        <w:t xml:space="preserve">The deputies repeated themselves and told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he was now trespassing.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responded by asking the deputies if they were going to use force.  </w:t>
      </w:r>
      <w:r w:rsidR="005C15F0">
        <w:rPr>
          <w:rFonts w:ascii="Arial" w:eastAsiaTheme="minorHAnsi" w:hAnsi="Arial" w:cs="Arial"/>
          <w:iCs/>
          <w:sz w:val="22"/>
          <w:szCs w:val="22"/>
        </w:rPr>
        <w:t>A</w:t>
      </w:r>
      <w:r w:rsidRPr="00B46738">
        <w:rPr>
          <w:rFonts w:ascii="Arial" w:eastAsiaTheme="minorHAnsi" w:hAnsi="Arial" w:cs="Arial"/>
          <w:iCs/>
          <w:sz w:val="22"/>
          <w:szCs w:val="22"/>
        </w:rPr>
        <w:t xml:space="preserve"> deput</w:t>
      </w:r>
      <w:r w:rsidR="005C15F0">
        <w:rPr>
          <w:rFonts w:ascii="Arial" w:eastAsiaTheme="minorHAnsi" w:hAnsi="Arial" w:cs="Arial"/>
          <w:iCs/>
          <w:sz w:val="22"/>
          <w:szCs w:val="22"/>
        </w:rPr>
        <w:t>y</w:t>
      </w:r>
      <w:r w:rsidRPr="00B46738">
        <w:rPr>
          <w:rFonts w:ascii="Arial" w:eastAsiaTheme="minorHAnsi" w:hAnsi="Arial" w:cs="Arial"/>
          <w:iCs/>
          <w:sz w:val="22"/>
          <w:szCs w:val="22"/>
        </w:rPr>
        <w:t xml:space="preserve"> responded they would if he </w:t>
      </w:r>
      <w:r w:rsidR="005C15F0">
        <w:rPr>
          <w:rFonts w:ascii="Arial" w:eastAsiaTheme="minorHAnsi" w:hAnsi="Arial" w:cs="Arial"/>
          <w:iCs/>
          <w:sz w:val="22"/>
          <w:szCs w:val="22"/>
        </w:rPr>
        <w:t>did not leave</w:t>
      </w:r>
      <w:r w:rsidRPr="00B46738">
        <w:rPr>
          <w:rFonts w:ascii="Arial" w:eastAsiaTheme="minorHAnsi" w:hAnsi="Arial" w:cs="Arial"/>
          <w:iCs/>
          <w:sz w:val="22"/>
          <w:szCs w:val="22"/>
        </w:rPr>
        <w:t xml:space="preserve">. </w:t>
      </w:r>
      <w:r w:rsidR="005C15F0">
        <w:rPr>
          <w:rFonts w:ascii="Arial" w:eastAsiaTheme="minorHAnsi" w:hAnsi="Arial" w:cs="Arial"/>
          <w:iCs/>
          <w:sz w:val="22"/>
          <w:szCs w:val="22"/>
        </w:rPr>
        <w:t xml:space="preserve">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w:t>
      </w:r>
      <w:r w:rsidR="005C15F0">
        <w:rPr>
          <w:rFonts w:ascii="Arial" w:eastAsiaTheme="minorHAnsi" w:hAnsi="Arial" w:cs="Arial"/>
          <w:iCs/>
          <w:sz w:val="22"/>
          <w:szCs w:val="22"/>
        </w:rPr>
        <w:t>turned around and placed</w:t>
      </w:r>
      <w:r w:rsidRPr="00B46738">
        <w:rPr>
          <w:rFonts w:ascii="Arial" w:eastAsiaTheme="minorHAnsi" w:hAnsi="Arial" w:cs="Arial"/>
          <w:iCs/>
          <w:sz w:val="22"/>
          <w:szCs w:val="22"/>
        </w:rPr>
        <w:t xml:space="preserve"> his hands behind his back. The deputy asked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005C15F0">
        <w:rPr>
          <w:rFonts w:ascii="Arial" w:eastAsiaTheme="minorHAnsi" w:hAnsi="Arial" w:cs="Arial"/>
          <w:iCs/>
          <w:sz w:val="22"/>
          <w:szCs w:val="22"/>
        </w:rPr>
        <w:t xml:space="preserve"> if his actions </w:t>
      </w:r>
      <w:r w:rsidRPr="00B46738">
        <w:rPr>
          <w:rFonts w:ascii="Arial" w:eastAsiaTheme="minorHAnsi" w:hAnsi="Arial" w:cs="Arial"/>
          <w:iCs/>
          <w:sz w:val="22"/>
          <w:szCs w:val="22"/>
        </w:rPr>
        <w:t>mean</w:t>
      </w:r>
      <w:r w:rsidR="005C15F0">
        <w:rPr>
          <w:rFonts w:ascii="Arial" w:eastAsiaTheme="minorHAnsi" w:hAnsi="Arial" w:cs="Arial"/>
          <w:iCs/>
          <w:sz w:val="22"/>
          <w:szCs w:val="22"/>
        </w:rPr>
        <w:t>t he</w:t>
      </w:r>
      <w:r w:rsidRPr="00B46738">
        <w:rPr>
          <w:rFonts w:ascii="Arial" w:eastAsiaTheme="minorHAnsi" w:hAnsi="Arial" w:cs="Arial"/>
          <w:iCs/>
          <w:sz w:val="22"/>
          <w:szCs w:val="22"/>
        </w:rPr>
        <w:t xml:space="preserve"> </w:t>
      </w:r>
      <w:r w:rsidR="005C15F0">
        <w:rPr>
          <w:rFonts w:ascii="Arial" w:eastAsiaTheme="minorHAnsi" w:hAnsi="Arial" w:cs="Arial"/>
          <w:iCs/>
          <w:sz w:val="22"/>
          <w:szCs w:val="22"/>
        </w:rPr>
        <w:t>was</w:t>
      </w:r>
      <w:r w:rsidRPr="00B46738">
        <w:rPr>
          <w:rFonts w:ascii="Arial" w:eastAsiaTheme="minorHAnsi" w:hAnsi="Arial" w:cs="Arial"/>
          <w:iCs/>
          <w:sz w:val="22"/>
          <w:szCs w:val="22"/>
        </w:rPr>
        <w:t xml:space="preserve"> n</w:t>
      </w:r>
      <w:r w:rsidR="005C15F0">
        <w:rPr>
          <w:rFonts w:ascii="Arial" w:eastAsiaTheme="minorHAnsi" w:hAnsi="Arial" w:cs="Arial"/>
          <w:iCs/>
          <w:sz w:val="22"/>
          <w:szCs w:val="22"/>
        </w:rPr>
        <w:t>ot going to leave the property.</w:t>
      </w:r>
      <w:r w:rsidRPr="00B46738">
        <w:rPr>
          <w:rFonts w:ascii="Arial" w:eastAsiaTheme="minorHAnsi" w:hAnsi="Arial" w:cs="Arial"/>
          <w:iCs/>
          <w:sz w:val="22"/>
          <w:szCs w:val="22"/>
        </w:rPr>
        <w:t xml:space="preserve">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replied</w:t>
      </w:r>
      <w:r w:rsidR="005C15F0">
        <w:rPr>
          <w:rFonts w:ascii="Arial" w:eastAsiaTheme="minorHAnsi" w:hAnsi="Arial" w:cs="Arial"/>
          <w:iCs/>
          <w:sz w:val="22"/>
          <w:szCs w:val="22"/>
        </w:rPr>
        <w:t xml:space="preserve"> that he was not</w:t>
      </w:r>
      <w:r w:rsidRPr="00B46738">
        <w:rPr>
          <w:rFonts w:ascii="Arial" w:eastAsiaTheme="minorHAnsi" w:hAnsi="Arial" w:cs="Arial"/>
          <w:iCs/>
          <w:sz w:val="22"/>
          <w:szCs w:val="22"/>
        </w:rPr>
        <w:t xml:space="preserve"> leaving </w:t>
      </w:r>
      <w:r w:rsidR="005C15F0">
        <w:rPr>
          <w:rFonts w:ascii="Arial" w:eastAsiaTheme="minorHAnsi" w:hAnsi="Arial" w:cs="Arial"/>
          <w:iCs/>
          <w:sz w:val="22"/>
          <w:szCs w:val="22"/>
        </w:rPr>
        <w:t>the</w:t>
      </w:r>
      <w:r w:rsidRPr="00B46738">
        <w:rPr>
          <w:rFonts w:ascii="Arial" w:eastAsiaTheme="minorHAnsi" w:hAnsi="Arial" w:cs="Arial"/>
          <w:iCs/>
          <w:sz w:val="22"/>
          <w:szCs w:val="22"/>
        </w:rPr>
        <w:t xml:space="preserve"> property.  The deputy gave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verbal commands to keep his hands behind his back and informed him he was under arrest.  As the deputy grabbed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’s wrists,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immediately pulled one of his arms away from the deputy </w:t>
      </w:r>
      <w:r w:rsidRPr="00B46738">
        <w:rPr>
          <w:rFonts w:ascii="Arial" w:eastAsiaTheme="minorHAnsi" w:hAnsi="Arial" w:cs="Arial"/>
          <w:iCs/>
          <w:sz w:val="22"/>
          <w:szCs w:val="22"/>
        </w:rPr>
        <w:lastRenderedPageBreak/>
        <w:t xml:space="preserve">while spinning around </w:t>
      </w:r>
      <w:r w:rsidR="005C15F0">
        <w:rPr>
          <w:rFonts w:ascii="Arial" w:eastAsiaTheme="minorHAnsi" w:hAnsi="Arial" w:cs="Arial"/>
          <w:iCs/>
          <w:sz w:val="22"/>
          <w:szCs w:val="22"/>
        </w:rPr>
        <w:t>to try</w:t>
      </w:r>
      <w:r w:rsidRPr="00B46738">
        <w:rPr>
          <w:rFonts w:ascii="Arial" w:eastAsiaTheme="minorHAnsi" w:hAnsi="Arial" w:cs="Arial"/>
          <w:iCs/>
          <w:sz w:val="22"/>
          <w:szCs w:val="22"/>
        </w:rPr>
        <w:t xml:space="preserve"> to escape.  The deputy gave him verbal commands to stop resisting as </w:t>
      </w:r>
      <w:r w:rsidR="005C15F0">
        <w:rPr>
          <w:rFonts w:ascii="Arial" w:eastAsiaTheme="minorHAnsi" w:hAnsi="Arial" w:cs="Arial"/>
          <w:iCs/>
          <w:sz w:val="22"/>
          <w:szCs w:val="22"/>
        </w:rPr>
        <w:t>the respondent continued to pull</w:t>
      </w:r>
      <w:r w:rsidRPr="00B46738">
        <w:rPr>
          <w:rFonts w:ascii="Arial" w:eastAsiaTheme="minorHAnsi" w:hAnsi="Arial" w:cs="Arial"/>
          <w:iCs/>
          <w:sz w:val="22"/>
          <w:szCs w:val="22"/>
        </w:rPr>
        <w:t xml:space="preserve"> away.  Another deputy assisted in taking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to the ground in order to gain control of him for handcuffing. </w:t>
      </w:r>
      <w:r w:rsidR="005C15F0">
        <w:rPr>
          <w:rFonts w:ascii="Arial" w:eastAsiaTheme="minorHAnsi" w:hAnsi="Arial" w:cs="Arial"/>
          <w:iCs/>
          <w:sz w:val="22"/>
          <w:szCs w:val="22"/>
        </w:rPr>
        <w:t xml:space="preserve"> </w:t>
      </w:r>
      <w:r w:rsidRPr="00B46738">
        <w:rPr>
          <w:rFonts w:ascii="Arial" w:eastAsiaTheme="minorHAnsi" w:hAnsi="Arial" w:cs="Arial"/>
          <w:iCs/>
          <w:sz w:val="22"/>
          <w:szCs w:val="22"/>
        </w:rPr>
        <w:t xml:space="preserve">While on the ground,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continued to pull away and yell.  Once the deputies began to place handcuffs on him,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yelled that he was just joking and stated he was a correctional officer.  The deputies were finally able to get him secured.  While searching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the deputy located a leather knife sheath attached to the right side of his belt.  It contained an approximately four inch knife that the deputy recognized to be an offensive style weapon.  Since the knife had been concealed under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’s shirt, the deputy asked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if he had </w:t>
      </w:r>
      <w:proofErr w:type="gramStart"/>
      <w:r w:rsidRPr="00B46738">
        <w:rPr>
          <w:rFonts w:ascii="Arial" w:eastAsiaTheme="minorHAnsi" w:hAnsi="Arial" w:cs="Arial"/>
          <w:iCs/>
          <w:sz w:val="22"/>
          <w:szCs w:val="22"/>
        </w:rPr>
        <w:t>a concealed weapon</w:t>
      </w:r>
      <w:r w:rsidR="005C15F0">
        <w:rPr>
          <w:rFonts w:ascii="Arial" w:eastAsiaTheme="minorHAnsi" w:hAnsi="Arial" w:cs="Arial"/>
          <w:iCs/>
          <w:sz w:val="22"/>
          <w:szCs w:val="22"/>
        </w:rPr>
        <w:t>s</w:t>
      </w:r>
      <w:proofErr w:type="gramEnd"/>
      <w:r w:rsidRPr="00B46738">
        <w:rPr>
          <w:rFonts w:ascii="Arial" w:eastAsiaTheme="minorHAnsi" w:hAnsi="Arial" w:cs="Arial"/>
          <w:iCs/>
          <w:sz w:val="22"/>
          <w:szCs w:val="22"/>
        </w:rPr>
        <w:t xml:space="preserve"> permit and he confirmed that he did.  The deputy was not able to locate a concealed weapons permit in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’s wallet.  The deputy conducted a FCIC/NCIC query of the Florida concealed weapons permit system and it returned no result</w:t>
      </w:r>
      <w:r w:rsidR="005C15F0">
        <w:rPr>
          <w:rFonts w:ascii="Arial" w:eastAsiaTheme="minorHAnsi" w:hAnsi="Arial" w:cs="Arial"/>
          <w:iCs/>
          <w:sz w:val="22"/>
          <w:szCs w:val="22"/>
        </w:rPr>
        <w:t>s</w:t>
      </w:r>
      <w:r w:rsidRPr="00B46738">
        <w:rPr>
          <w:rFonts w:ascii="Arial" w:eastAsiaTheme="minorHAnsi" w:hAnsi="Arial" w:cs="Arial"/>
          <w:iCs/>
          <w:sz w:val="22"/>
          <w:szCs w:val="22"/>
        </w:rPr>
        <w:t xml:space="preserve">.  The manager of the establishment completed a sworn statement and indicated he wanted to prosecute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for trespassing.  While still on scene,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continued to yell from the back seat of the patrol car and attempted to kick out the patrol car window at least five times.</w:t>
      </w:r>
      <w:r>
        <w:rPr>
          <w:rFonts w:ascii="Arial" w:eastAsiaTheme="minorHAnsi" w:hAnsi="Arial" w:cs="Arial"/>
          <w:iCs/>
          <w:sz w:val="22"/>
          <w:szCs w:val="22"/>
        </w:rPr>
        <w:t xml:space="preserve"> </w:t>
      </w:r>
      <w:r w:rsidR="005C15F0">
        <w:rPr>
          <w:rFonts w:ascii="Arial" w:eastAsiaTheme="minorHAnsi" w:hAnsi="Arial" w:cs="Arial"/>
          <w:iCs/>
          <w:sz w:val="22"/>
          <w:szCs w:val="22"/>
        </w:rPr>
        <w:t xml:space="preserve"> </w:t>
      </w:r>
      <w:r>
        <w:rPr>
          <w:rFonts w:ascii="Arial" w:eastAsiaTheme="minorHAnsi" w:hAnsi="Arial" w:cs="Arial"/>
          <w:iCs/>
          <w:sz w:val="22"/>
          <w:szCs w:val="22"/>
        </w:rPr>
        <w:t>O</w:t>
      </w:r>
      <w:r w:rsidRPr="00B46738">
        <w:rPr>
          <w:rFonts w:ascii="Arial" w:eastAsiaTheme="minorHAnsi" w:hAnsi="Arial" w:cs="Arial"/>
          <w:iCs/>
          <w:sz w:val="22"/>
          <w:szCs w:val="22"/>
        </w:rPr>
        <w:t xml:space="preserve">n January 5, 2015, </w:t>
      </w:r>
      <w:r w:rsidR="005C15F0">
        <w:rPr>
          <w:rFonts w:ascii="Arial" w:eastAsiaTheme="minorHAnsi" w:hAnsi="Arial" w:cs="Arial"/>
          <w:iCs/>
          <w:sz w:val="22"/>
          <w:szCs w:val="22"/>
        </w:rPr>
        <w:t>the</w:t>
      </w:r>
      <w:r>
        <w:rPr>
          <w:rFonts w:ascii="Arial" w:eastAsiaTheme="minorHAnsi" w:hAnsi="Arial" w:cs="Arial"/>
          <w:iCs/>
          <w:sz w:val="22"/>
          <w:szCs w:val="22"/>
        </w:rPr>
        <w:t xml:space="preserve"> respondent</w:t>
      </w:r>
      <w:r w:rsidRPr="00B46738">
        <w:rPr>
          <w:rFonts w:ascii="Arial" w:eastAsiaTheme="minorHAnsi" w:hAnsi="Arial" w:cs="Arial"/>
          <w:iCs/>
          <w:sz w:val="22"/>
          <w:szCs w:val="22"/>
        </w:rPr>
        <w:t xml:space="preserve"> entered into a plea agreement.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pled Nolo Contendere to Trespass in an Occupied Structure (Refusal to Leave) and the charges of Resisting an Officer without Violence and Carrying a Concealed Weapon were dismissed.  </w:t>
      </w:r>
      <w:r>
        <w:rPr>
          <w:rFonts w:ascii="Arial" w:eastAsiaTheme="minorHAnsi" w:hAnsi="Arial" w:cs="Arial"/>
          <w:iCs/>
          <w:sz w:val="22"/>
          <w:szCs w:val="22"/>
        </w:rPr>
        <w:t>The respondent</w:t>
      </w:r>
      <w:r w:rsidRPr="00B46738">
        <w:rPr>
          <w:rFonts w:ascii="Arial" w:eastAsiaTheme="minorHAnsi" w:hAnsi="Arial" w:cs="Arial"/>
          <w:iCs/>
          <w:sz w:val="22"/>
          <w:szCs w:val="22"/>
        </w:rPr>
        <w:t xml:space="preserve"> was sentenced to one day in jail with credit for one day served</w:t>
      </w:r>
      <w:r w:rsidR="00AC1906">
        <w:rPr>
          <w:rFonts w:ascii="Arial" w:eastAsiaTheme="minorHAnsi" w:hAnsi="Arial" w:cs="Arial"/>
          <w:iCs/>
          <w:sz w:val="22"/>
          <w:szCs w:val="22"/>
        </w:rPr>
        <w:t>;</w:t>
      </w:r>
      <w:r w:rsidRPr="00B46738">
        <w:rPr>
          <w:rFonts w:ascii="Arial" w:eastAsiaTheme="minorHAnsi" w:hAnsi="Arial" w:cs="Arial"/>
          <w:iCs/>
          <w:sz w:val="22"/>
          <w:szCs w:val="22"/>
        </w:rPr>
        <w:t xml:space="preserve"> placed on probation for 360 days</w:t>
      </w:r>
      <w:r w:rsidR="00AC1906">
        <w:rPr>
          <w:rFonts w:ascii="Arial" w:eastAsiaTheme="minorHAnsi" w:hAnsi="Arial" w:cs="Arial"/>
          <w:iCs/>
          <w:sz w:val="22"/>
          <w:szCs w:val="22"/>
        </w:rPr>
        <w:t>;</w:t>
      </w:r>
      <w:r w:rsidRPr="00B46738">
        <w:rPr>
          <w:rFonts w:ascii="Arial" w:eastAsiaTheme="minorHAnsi" w:hAnsi="Arial" w:cs="Arial"/>
          <w:iCs/>
          <w:sz w:val="22"/>
          <w:szCs w:val="22"/>
        </w:rPr>
        <w:t xml:space="preserve"> </w:t>
      </w:r>
      <w:r w:rsidR="005C15F0">
        <w:rPr>
          <w:rFonts w:ascii="Arial" w:eastAsiaTheme="minorHAnsi" w:hAnsi="Arial" w:cs="Arial"/>
          <w:iCs/>
          <w:sz w:val="22"/>
          <w:szCs w:val="22"/>
        </w:rPr>
        <w:t>required to</w:t>
      </w:r>
      <w:r w:rsidRPr="00B46738">
        <w:rPr>
          <w:rFonts w:ascii="Arial" w:eastAsiaTheme="minorHAnsi" w:hAnsi="Arial" w:cs="Arial"/>
          <w:iCs/>
          <w:sz w:val="22"/>
          <w:szCs w:val="22"/>
        </w:rPr>
        <w:t xml:space="preserve"> perform 50 hours of community service</w:t>
      </w:r>
      <w:r w:rsidR="00AC1906">
        <w:rPr>
          <w:rFonts w:ascii="Arial" w:eastAsiaTheme="minorHAnsi" w:hAnsi="Arial" w:cs="Arial"/>
          <w:iCs/>
          <w:sz w:val="22"/>
          <w:szCs w:val="22"/>
        </w:rPr>
        <w:t>;</w:t>
      </w:r>
      <w:r w:rsidRPr="00B46738">
        <w:rPr>
          <w:rFonts w:ascii="Arial" w:eastAsiaTheme="minorHAnsi" w:hAnsi="Arial" w:cs="Arial"/>
          <w:iCs/>
          <w:sz w:val="22"/>
          <w:szCs w:val="22"/>
        </w:rPr>
        <w:t xml:space="preserve"> </w:t>
      </w:r>
      <w:r w:rsidR="005C15F0">
        <w:rPr>
          <w:rFonts w:ascii="Arial" w:eastAsiaTheme="minorHAnsi" w:hAnsi="Arial" w:cs="Arial"/>
          <w:iCs/>
          <w:sz w:val="22"/>
          <w:szCs w:val="22"/>
        </w:rPr>
        <w:t>ordered</w:t>
      </w:r>
      <w:r w:rsidRPr="00B46738">
        <w:rPr>
          <w:rFonts w:ascii="Arial" w:eastAsiaTheme="minorHAnsi" w:hAnsi="Arial" w:cs="Arial"/>
          <w:iCs/>
          <w:sz w:val="22"/>
          <w:szCs w:val="22"/>
        </w:rPr>
        <w:t xml:space="preserve"> not possess, carry, or own firearms, unless authorized</w:t>
      </w:r>
      <w:r w:rsidR="00AC1906">
        <w:rPr>
          <w:rFonts w:ascii="Arial" w:eastAsiaTheme="minorHAnsi" w:hAnsi="Arial" w:cs="Arial"/>
          <w:iCs/>
          <w:sz w:val="22"/>
          <w:szCs w:val="22"/>
        </w:rPr>
        <w:t>;</w:t>
      </w:r>
      <w:r w:rsidRPr="00B46738">
        <w:rPr>
          <w:rFonts w:ascii="Arial" w:eastAsiaTheme="minorHAnsi" w:hAnsi="Arial" w:cs="Arial"/>
          <w:iCs/>
          <w:sz w:val="22"/>
          <w:szCs w:val="22"/>
        </w:rPr>
        <w:t xml:space="preserve"> successfully complete anger management training</w:t>
      </w:r>
      <w:r w:rsidR="00AC1906">
        <w:rPr>
          <w:rFonts w:ascii="Arial" w:eastAsiaTheme="minorHAnsi" w:hAnsi="Arial" w:cs="Arial"/>
          <w:iCs/>
          <w:sz w:val="22"/>
          <w:szCs w:val="22"/>
        </w:rPr>
        <w:t>;</w:t>
      </w:r>
      <w:r w:rsidRPr="00B46738">
        <w:rPr>
          <w:rFonts w:ascii="Arial" w:eastAsiaTheme="minorHAnsi" w:hAnsi="Arial" w:cs="Arial"/>
          <w:iCs/>
          <w:sz w:val="22"/>
          <w:szCs w:val="22"/>
        </w:rPr>
        <w:t xml:space="preserve"> and pay various court costs and fines.</w:t>
      </w:r>
    </w:p>
    <w:p w:rsidR="002D2DFF" w:rsidRPr="00A16412" w:rsidRDefault="002D2DFF" w:rsidP="00A7225E">
      <w:pPr>
        <w:spacing w:after="200" w:line="276" w:lineRule="auto"/>
        <w:contextualSpacing/>
        <w:jc w:val="both"/>
        <w:rPr>
          <w:rFonts w:ascii="Arial" w:eastAsiaTheme="minorHAnsi" w:hAnsi="Arial" w:cs="Arial"/>
          <w:iCs/>
          <w:sz w:val="22"/>
          <w:szCs w:val="22"/>
        </w:rPr>
      </w:pPr>
    </w:p>
    <w:p w:rsidR="00726980" w:rsidRDefault="00726980" w:rsidP="00A7225E">
      <w:pPr>
        <w:contextualSpacing/>
        <w:jc w:val="both"/>
        <w:rPr>
          <w:rFonts w:ascii="Arial" w:hAnsi="Arial" w:cs="Arial"/>
          <w:sz w:val="22"/>
          <w:szCs w:val="22"/>
        </w:rPr>
      </w:pPr>
      <w:r w:rsidRPr="00A45961">
        <w:rPr>
          <w:rFonts w:ascii="Arial" w:hAnsi="Arial" w:cs="Arial"/>
          <w:b/>
          <w:sz w:val="22"/>
          <w:szCs w:val="22"/>
        </w:rPr>
        <w:t>Penalty Guideline</w:t>
      </w:r>
      <w:r w:rsidR="00A7225E">
        <w:rPr>
          <w:rFonts w:ascii="Arial" w:hAnsi="Arial" w:cs="Arial"/>
          <w:sz w:val="22"/>
          <w:szCs w:val="22"/>
        </w:rPr>
        <w:t xml:space="preserve">: </w:t>
      </w:r>
      <w:r w:rsidR="005C15F0">
        <w:rPr>
          <w:rFonts w:ascii="Arial" w:hAnsi="Arial" w:cs="Arial"/>
          <w:sz w:val="22"/>
          <w:szCs w:val="22"/>
        </w:rPr>
        <w:t xml:space="preserve">Probation to </w:t>
      </w:r>
      <w:r w:rsidR="0002545B">
        <w:rPr>
          <w:rFonts w:ascii="Arial" w:hAnsi="Arial" w:cs="Arial"/>
          <w:sz w:val="22"/>
          <w:szCs w:val="22"/>
        </w:rPr>
        <w:t>Suspension</w:t>
      </w:r>
      <w:r w:rsidR="005C15F0">
        <w:rPr>
          <w:rFonts w:ascii="Arial" w:hAnsi="Arial" w:cs="Arial"/>
          <w:sz w:val="22"/>
          <w:szCs w:val="22"/>
        </w:rPr>
        <w:t xml:space="preserve">; </w:t>
      </w:r>
      <w:r w:rsidR="005C15F0" w:rsidRPr="005C15F0">
        <w:rPr>
          <w:rFonts w:ascii="Arial" w:hAnsi="Arial" w:cs="Arial"/>
          <w:sz w:val="22"/>
          <w:szCs w:val="22"/>
        </w:rPr>
        <w:t>Probation to Suspension</w:t>
      </w:r>
      <w:r w:rsidR="005C15F0">
        <w:rPr>
          <w:rFonts w:ascii="Arial" w:hAnsi="Arial" w:cs="Arial"/>
          <w:sz w:val="22"/>
          <w:szCs w:val="22"/>
        </w:rPr>
        <w:t xml:space="preserve">; </w:t>
      </w:r>
      <w:r w:rsidR="005C15F0" w:rsidRPr="005C15F0">
        <w:rPr>
          <w:rFonts w:ascii="Arial" w:hAnsi="Arial" w:cs="Arial"/>
          <w:sz w:val="22"/>
          <w:szCs w:val="22"/>
        </w:rPr>
        <w:t>Probation to Suspension</w:t>
      </w:r>
    </w:p>
    <w:p w:rsidR="00A7225E" w:rsidRPr="00A45961" w:rsidRDefault="00A7225E" w:rsidP="008B0E3B">
      <w:pPr>
        <w:contextualSpacing/>
        <w:jc w:val="both"/>
        <w:rPr>
          <w:rFonts w:ascii="Arial" w:hAnsi="Arial" w:cs="Arial"/>
          <w:sz w:val="22"/>
          <w:szCs w:val="22"/>
        </w:rPr>
      </w:pPr>
    </w:p>
    <w:p w:rsidR="00A7225E" w:rsidRPr="00A7225E" w:rsidRDefault="00A7225E" w:rsidP="00A7225E">
      <w:pPr>
        <w:jc w:val="both"/>
        <w:rPr>
          <w:rFonts w:ascii="Arial" w:hAnsi="Arial" w:cs="Arial"/>
          <w:sz w:val="22"/>
          <w:szCs w:val="22"/>
        </w:rPr>
      </w:pPr>
      <w:r w:rsidRPr="00A7225E">
        <w:rPr>
          <w:rFonts w:ascii="Arial" w:hAnsi="Arial" w:cs="Arial"/>
          <w:sz w:val="22"/>
          <w:szCs w:val="22"/>
        </w:rPr>
        <w:t xml:space="preserve">FDLE Prosecution requested a 60 day prospective suspension; 1 year probation to begin at the conclusion of the suspension period; provide staff with proof of successful completion of Commission-approved </w:t>
      </w:r>
      <w:r>
        <w:rPr>
          <w:rFonts w:ascii="Arial" w:hAnsi="Arial" w:cs="Arial"/>
          <w:sz w:val="22"/>
          <w:szCs w:val="22"/>
        </w:rPr>
        <w:t>anger management</w:t>
      </w:r>
      <w:r w:rsidRPr="00A7225E">
        <w:rPr>
          <w:rFonts w:ascii="Arial" w:hAnsi="Arial" w:cs="Arial"/>
          <w:sz w:val="22"/>
          <w:szCs w:val="22"/>
        </w:rPr>
        <w:t xml:space="preserve"> prior to the end of the probationary period.</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A7225E">
        <w:rPr>
          <w:rFonts w:ascii="Arial" w:hAnsi="Arial" w:cs="Arial"/>
          <w:sz w:val="22"/>
          <w:szCs w:val="22"/>
        </w:rPr>
        <w:t>accepted the requested penalty</w:t>
      </w:r>
      <w:r w:rsidR="0033440C">
        <w:rPr>
          <w:rFonts w:ascii="Arial" w:hAnsi="Arial" w:cs="Arial"/>
          <w:sz w:val="22"/>
          <w:szCs w:val="22"/>
        </w:rPr>
        <w:t>.</w:t>
      </w: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bookmarkStart w:id="1" w:name="OLE_LINK1"/>
      <w:bookmarkStart w:id="2" w:name="OLE_LINK2"/>
      <w:bookmarkStart w:id="3" w:name="OLE_LINK3"/>
      <w:r w:rsidRPr="00A45961">
        <w:rPr>
          <w:rFonts w:ascii="Arial" w:eastAsiaTheme="minorHAnsi" w:hAnsi="Arial" w:cs="Arial"/>
          <w:b/>
          <w:sz w:val="22"/>
          <w:szCs w:val="22"/>
        </w:rPr>
        <w:t>The following information is provided to facilitate an understanding of the Professional Compliance process.</w:t>
      </w:r>
    </w:p>
    <w:bookmarkEnd w:id="1"/>
    <w:bookmarkEnd w:id="2"/>
    <w:bookmarkEnd w:id="3"/>
    <w:p w:rsidR="003F5C5D" w:rsidRDefault="003F5C5D" w:rsidP="0047237A">
      <w:pPr>
        <w:spacing w:after="200" w:line="276" w:lineRule="auto"/>
        <w:contextualSpacing/>
        <w:jc w:val="both"/>
        <w:rPr>
          <w:rFonts w:ascii="Arial" w:eastAsiaTheme="minorHAnsi" w:hAnsi="Arial" w:cs="Arial"/>
          <w:sz w:val="22"/>
          <w:szCs w:val="22"/>
        </w:rPr>
      </w:pPr>
    </w:p>
    <w:p w:rsidR="00A7225E" w:rsidRPr="00A7225E" w:rsidRDefault="00A7225E" w:rsidP="00A7225E">
      <w:pPr>
        <w:spacing w:after="200" w:line="276" w:lineRule="auto"/>
        <w:contextualSpacing/>
        <w:jc w:val="both"/>
        <w:rPr>
          <w:rFonts w:ascii="Arial" w:eastAsiaTheme="minorHAnsi" w:hAnsi="Arial" w:cs="Arial"/>
          <w:sz w:val="22"/>
          <w:szCs w:val="22"/>
        </w:rPr>
      </w:pPr>
      <w:r w:rsidRPr="00A7225E">
        <w:rPr>
          <w:rFonts w:ascii="Arial" w:eastAsiaTheme="minorHAnsi" w:hAnsi="Arial" w:cs="Arial"/>
          <w:sz w:val="22"/>
          <w:szCs w:val="22"/>
        </w:rPr>
        <w:t>Section 943.1395(7)(a)-(e), F.S.</w:t>
      </w:r>
      <w:r w:rsidR="00AC1906">
        <w:rPr>
          <w:rFonts w:ascii="Arial" w:eastAsiaTheme="minorHAnsi" w:hAnsi="Arial" w:cs="Arial"/>
          <w:sz w:val="22"/>
          <w:szCs w:val="22"/>
        </w:rPr>
        <w:t>,</w:t>
      </w:r>
      <w:r w:rsidRPr="00A7225E">
        <w:rPr>
          <w:rFonts w:ascii="Arial" w:eastAsiaTheme="minorHAnsi" w:hAnsi="Arial" w:cs="Arial"/>
          <w:sz w:val="22"/>
          <w:szCs w:val="22"/>
        </w:rPr>
        <w:t xml:space="preserve"> authorizes the Criminal Justice Standards and Training Commission to impose disciplinary action against an officer’s certification ranging from the issuance of a reprimand to revocation of certification.  The Commission has established general and specific penalty guidelines under Rule 11B-27.005(5), Florida Administrative Code</w:t>
      </w:r>
      <w:r w:rsidR="00AC1906">
        <w:rPr>
          <w:rFonts w:ascii="Arial" w:eastAsiaTheme="minorHAnsi" w:hAnsi="Arial" w:cs="Arial"/>
          <w:sz w:val="22"/>
          <w:szCs w:val="22"/>
        </w:rPr>
        <w:t>,</w:t>
      </w:r>
      <w:r w:rsidRPr="00A7225E">
        <w:rPr>
          <w:rFonts w:ascii="Arial" w:eastAsiaTheme="minorHAnsi" w:hAnsi="Arial" w:cs="Arial"/>
          <w:sz w:val="22"/>
          <w:szCs w:val="22"/>
        </w:rPr>
        <w:t xml:space="preserve"> for felony offenses, specific enumerated misdemeanor offenses, non-criminal offenses, and violations involving the unlawful use of controlled substances.  The Commission uses these penalty guidelines </w:t>
      </w:r>
      <w:r w:rsidR="00AC1906">
        <w:rPr>
          <w:rFonts w:ascii="Arial" w:eastAsiaTheme="minorHAnsi" w:hAnsi="Arial" w:cs="Arial"/>
          <w:sz w:val="22"/>
          <w:szCs w:val="22"/>
        </w:rPr>
        <w:t>to determine</w:t>
      </w:r>
      <w:r w:rsidRPr="00A7225E">
        <w:rPr>
          <w:rFonts w:ascii="Arial" w:eastAsiaTheme="minorHAnsi" w:hAnsi="Arial" w:cs="Arial"/>
          <w:sz w:val="22"/>
          <w:szCs w:val="22"/>
        </w:rPr>
        <w:t xml:space="preserve"> appropriate disciplinary recommendations regarding the </w:t>
      </w:r>
      <w:r w:rsidRPr="00A7225E">
        <w:rPr>
          <w:rFonts w:ascii="Arial" w:eastAsiaTheme="minorHAnsi" w:hAnsi="Arial" w:cs="Arial"/>
          <w:sz w:val="22"/>
          <w:szCs w:val="22"/>
        </w:rPr>
        <w:lastRenderedPageBreak/>
        <w:t>certification of sworn officers in the state of Florida.  Additionally, Section 943.1395(8</w:t>
      </w:r>
      <w:proofErr w:type="gramStart"/>
      <w:r w:rsidRPr="00A7225E">
        <w:rPr>
          <w:rFonts w:ascii="Arial" w:eastAsiaTheme="minorHAnsi" w:hAnsi="Arial" w:cs="Arial"/>
          <w:sz w:val="22"/>
          <w:szCs w:val="22"/>
        </w:rPr>
        <w:t>)(</w:t>
      </w:r>
      <w:proofErr w:type="gramEnd"/>
      <w:r w:rsidRPr="00A7225E">
        <w:rPr>
          <w:rFonts w:ascii="Arial" w:eastAsiaTheme="minorHAnsi" w:hAnsi="Arial" w:cs="Arial"/>
          <w:sz w:val="22"/>
          <w:szCs w:val="22"/>
        </w:rPr>
        <w:t>b)2 states:</w:t>
      </w:r>
    </w:p>
    <w:p w:rsidR="00A7225E" w:rsidRPr="00A7225E" w:rsidRDefault="00A7225E" w:rsidP="00A7225E">
      <w:pPr>
        <w:spacing w:after="200" w:line="276" w:lineRule="auto"/>
        <w:contextualSpacing/>
        <w:jc w:val="both"/>
        <w:rPr>
          <w:rFonts w:ascii="Arial" w:eastAsiaTheme="minorHAnsi" w:hAnsi="Arial" w:cs="Arial"/>
          <w:sz w:val="22"/>
          <w:szCs w:val="22"/>
        </w:rPr>
      </w:pPr>
    </w:p>
    <w:p w:rsidR="00A7225E" w:rsidRPr="00A7225E" w:rsidRDefault="00A7225E" w:rsidP="00A7225E">
      <w:pPr>
        <w:spacing w:after="200" w:line="276" w:lineRule="auto"/>
        <w:contextualSpacing/>
        <w:jc w:val="both"/>
        <w:rPr>
          <w:rFonts w:ascii="Arial" w:eastAsiaTheme="minorHAnsi" w:hAnsi="Arial" w:cs="Arial"/>
          <w:sz w:val="22"/>
          <w:szCs w:val="22"/>
        </w:rPr>
      </w:pPr>
      <w:r w:rsidRPr="00A7225E">
        <w:rPr>
          <w:rFonts w:ascii="Arial" w:eastAsiaTheme="minorHAnsi" w:hAnsi="Arial" w:cs="Arial"/>
          <w:sz w:val="22"/>
          <w:szCs w:val="22"/>
        </w:rPr>
        <w:t xml:space="preserve">On or before July 1 of each odd-numbered year, the </w:t>
      </w:r>
      <w:r>
        <w:rPr>
          <w:rFonts w:ascii="Arial" w:eastAsiaTheme="minorHAnsi" w:hAnsi="Arial" w:cs="Arial"/>
          <w:sz w:val="22"/>
          <w:szCs w:val="22"/>
        </w:rPr>
        <w:t>C</w:t>
      </w:r>
      <w:r w:rsidRPr="00A7225E">
        <w:rPr>
          <w:rFonts w:ascii="Arial" w:eastAsiaTheme="minorHAnsi" w:hAnsi="Arial" w:cs="Arial"/>
          <w:sz w:val="22"/>
          <w:szCs w:val="22"/>
        </w:rPr>
        <w:t>ommission shall conduct a workshop to receive public comment and evaluate disciplinary guidelines and penalties. The commission chair shall appoint a 12-member advisory panel, composed of six officers and six representatives of criminal justice management positions, to make recommendations to the commission concerning disciplinary guidelines.</w:t>
      </w:r>
    </w:p>
    <w:p w:rsidR="00A7225E" w:rsidRPr="00A7225E" w:rsidRDefault="00A7225E" w:rsidP="00A7225E">
      <w:pPr>
        <w:spacing w:after="200" w:line="276" w:lineRule="auto"/>
        <w:contextualSpacing/>
        <w:jc w:val="both"/>
        <w:rPr>
          <w:rFonts w:ascii="Arial" w:eastAsiaTheme="minorHAnsi" w:hAnsi="Arial" w:cs="Arial"/>
          <w:sz w:val="22"/>
          <w:szCs w:val="22"/>
        </w:rPr>
      </w:pPr>
    </w:p>
    <w:p w:rsidR="00A7225E" w:rsidRPr="00A7225E" w:rsidRDefault="00A7225E" w:rsidP="00A7225E">
      <w:pPr>
        <w:spacing w:after="200" w:line="276" w:lineRule="auto"/>
        <w:contextualSpacing/>
        <w:jc w:val="both"/>
        <w:rPr>
          <w:rFonts w:ascii="Arial" w:eastAsiaTheme="minorHAnsi" w:hAnsi="Arial" w:cs="Arial"/>
          <w:sz w:val="22"/>
          <w:szCs w:val="22"/>
        </w:rPr>
      </w:pPr>
      <w:r w:rsidRPr="00A7225E">
        <w:rPr>
          <w:rFonts w:ascii="Arial" w:eastAsiaTheme="minorHAnsi" w:hAnsi="Arial" w:cs="Arial"/>
          <w:sz w:val="22"/>
          <w:szCs w:val="22"/>
        </w:rPr>
        <w:t xml:space="preserve">The Commission plans to conduct this workshop as a Penalty Guidelines Task Force meeting during </w:t>
      </w:r>
      <w:r w:rsidR="00A32B7C">
        <w:rPr>
          <w:rFonts w:ascii="Arial" w:eastAsiaTheme="minorHAnsi" w:hAnsi="Arial" w:cs="Arial"/>
          <w:sz w:val="22"/>
          <w:szCs w:val="22"/>
        </w:rPr>
        <w:t>the early part</w:t>
      </w:r>
      <w:r>
        <w:rPr>
          <w:rFonts w:ascii="Arial" w:eastAsiaTheme="minorHAnsi" w:hAnsi="Arial" w:cs="Arial"/>
          <w:sz w:val="22"/>
          <w:szCs w:val="22"/>
        </w:rPr>
        <w:t xml:space="preserve"> of 2017</w:t>
      </w:r>
      <w:r w:rsidRPr="00A7225E">
        <w:rPr>
          <w:rFonts w:ascii="Arial" w:eastAsiaTheme="minorHAnsi" w:hAnsi="Arial" w:cs="Arial"/>
          <w:sz w:val="22"/>
          <w:szCs w:val="22"/>
        </w:rPr>
        <w:t>.  If you have any issues that you would like to be considered by this group, please forward them to R. Stacy Lehman, Professional Compliance Section Manager in the Bureau of Standards, at the Florida Department of Law Enforcement, P.O. Box 1489, Tallahassee, Florida 32302 or via e-mail at</w:t>
      </w:r>
      <w:r w:rsidR="00AC1906">
        <w:rPr>
          <w:rFonts w:ascii="Arial" w:eastAsiaTheme="minorHAnsi" w:hAnsi="Arial" w:cs="Arial"/>
          <w:sz w:val="22"/>
          <w:szCs w:val="22"/>
        </w:rPr>
        <w:t xml:space="preserve">: </w:t>
      </w:r>
      <w:r w:rsidRPr="00A7225E">
        <w:rPr>
          <w:rFonts w:ascii="Arial" w:eastAsiaTheme="minorHAnsi" w:hAnsi="Arial" w:cs="Arial"/>
          <w:sz w:val="22"/>
          <w:szCs w:val="22"/>
        </w:rPr>
        <w:t>stacylehman@fdle.state.fl.us.</w:t>
      </w:r>
    </w:p>
    <w:p w:rsidR="00816BE0" w:rsidRPr="00FF2BBC" w:rsidRDefault="00816BE0" w:rsidP="007E5D6C">
      <w:pPr>
        <w:spacing w:after="200" w:line="276" w:lineRule="auto"/>
        <w:contextualSpacing/>
        <w:jc w:val="both"/>
        <w:rPr>
          <w:rFonts w:ascii="Arial" w:eastAsiaTheme="minorHAnsi" w:hAnsi="Arial" w:cs="Arial"/>
          <w:sz w:val="22"/>
          <w:szCs w:val="22"/>
        </w:rPr>
      </w:pPr>
    </w:p>
    <w:sectPr w:rsidR="00816BE0" w:rsidRPr="00FF2BBC" w:rsidSect="00315A3A">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CD" w:rsidRDefault="00EC78CD" w:rsidP="00EC78CD">
      <w:r>
        <w:separator/>
      </w:r>
    </w:p>
  </w:endnote>
  <w:endnote w:type="continuationSeparator" w:id="0">
    <w:p w:rsidR="00EC78CD" w:rsidRDefault="00EC78CD"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Pr="007C1FEB" w:rsidRDefault="00445ECA"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62195059" wp14:editId="002C5A8D">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CD" w:rsidRDefault="00EC78CD" w:rsidP="00EC78CD">
      <w:r>
        <w:separator/>
      </w:r>
    </w:p>
  </w:footnote>
  <w:footnote w:type="continuationSeparator" w:id="0">
    <w:p w:rsidR="00EC78CD" w:rsidRDefault="00EC78CD"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6727195A" wp14:editId="620482C3">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C6016"/>
    <w:multiLevelType w:val="hybridMultilevel"/>
    <w:tmpl w:val="16E80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8"/>
  </w:num>
  <w:num w:numId="8">
    <w:abstractNumId w:val="5"/>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2545B"/>
    <w:rsid w:val="00031468"/>
    <w:rsid w:val="00031C17"/>
    <w:rsid w:val="00046E18"/>
    <w:rsid w:val="00050CC8"/>
    <w:rsid w:val="00062BE3"/>
    <w:rsid w:val="0008242E"/>
    <w:rsid w:val="000A28FD"/>
    <w:rsid w:val="000A7469"/>
    <w:rsid w:val="000C22C6"/>
    <w:rsid w:val="000D22CA"/>
    <w:rsid w:val="000D324E"/>
    <w:rsid w:val="000F245F"/>
    <w:rsid w:val="000F2766"/>
    <w:rsid w:val="00102032"/>
    <w:rsid w:val="00106A90"/>
    <w:rsid w:val="001102E6"/>
    <w:rsid w:val="001272DA"/>
    <w:rsid w:val="0013291D"/>
    <w:rsid w:val="00164C13"/>
    <w:rsid w:val="001A0FC2"/>
    <w:rsid w:val="001A5087"/>
    <w:rsid w:val="001C5DE2"/>
    <w:rsid w:val="001D27D2"/>
    <w:rsid w:val="001D3381"/>
    <w:rsid w:val="001D4D91"/>
    <w:rsid w:val="001F4AE9"/>
    <w:rsid w:val="00207BB5"/>
    <w:rsid w:val="002132D6"/>
    <w:rsid w:val="00233C9E"/>
    <w:rsid w:val="00240A63"/>
    <w:rsid w:val="0024472E"/>
    <w:rsid w:val="002561FA"/>
    <w:rsid w:val="00257C12"/>
    <w:rsid w:val="00273E1E"/>
    <w:rsid w:val="00286243"/>
    <w:rsid w:val="002A29CE"/>
    <w:rsid w:val="002B0512"/>
    <w:rsid w:val="002C1C42"/>
    <w:rsid w:val="002C4B85"/>
    <w:rsid w:val="002D2DFF"/>
    <w:rsid w:val="002F62EB"/>
    <w:rsid w:val="002F7922"/>
    <w:rsid w:val="00303361"/>
    <w:rsid w:val="00307BC7"/>
    <w:rsid w:val="00314997"/>
    <w:rsid w:val="00315A3A"/>
    <w:rsid w:val="0032242F"/>
    <w:rsid w:val="0033440C"/>
    <w:rsid w:val="0033576A"/>
    <w:rsid w:val="00346571"/>
    <w:rsid w:val="0035733F"/>
    <w:rsid w:val="0038789E"/>
    <w:rsid w:val="00393B76"/>
    <w:rsid w:val="003B10E0"/>
    <w:rsid w:val="003C7A5E"/>
    <w:rsid w:val="003E5871"/>
    <w:rsid w:val="003F5C5D"/>
    <w:rsid w:val="004074E5"/>
    <w:rsid w:val="00417035"/>
    <w:rsid w:val="0042355A"/>
    <w:rsid w:val="004269C3"/>
    <w:rsid w:val="00436411"/>
    <w:rsid w:val="0044333D"/>
    <w:rsid w:val="00445ECA"/>
    <w:rsid w:val="00457DEA"/>
    <w:rsid w:val="00465B2C"/>
    <w:rsid w:val="0046770C"/>
    <w:rsid w:val="0047237A"/>
    <w:rsid w:val="00485330"/>
    <w:rsid w:val="004A3B1D"/>
    <w:rsid w:val="004A4797"/>
    <w:rsid w:val="004D6912"/>
    <w:rsid w:val="004E0538"/>
    <w:rsid w:val="004F4FE3"/>
    <w:rsid w:val="004F59EB"/>
    <w:rsid w:val="004F64C4"/>
    <w:rsid w:val="00504CC7"/>
    <w:rsid w:val="00511CDC"/>
    <w:rsid w:val="00513637"/>
    <w:rsid w:val="005317C5"/>
    <w:rsid w:val="00540724"/>
    <w:rsid w:val="00547AF9"/>
    <w:rsid w:val="00557F65"/>
    <w:rsid w:val="005623DA"/>
    <w:rsid w:val="00562E8F"/>
    <w:rsid w:val="0056669A"/>
    <w:rsid w:val="00574696"/>
    <w:rsid w:val="00585565"/>
    <w:rsid w:val="00585A60"/>
    <w:rsid w:val="00587113"/>
    <w:rsid w:val="00597E68"/>
    <w:rsid w:val="005A5565"/>
    <w:rsid w:val="005A6DBF"/>
    <w:rsid w:val="005C0264"/>
    <w:rsid w:val="005C15F0"/>
    <w:rsid w:val="005C5FB1"/>
    <w:rsid w:val="005D498F"/>
    <w:rsid w:val="005F5CBF"/>
    <w:rsid w:val="00600D61"/>
    <w:rsid w:val="00600E9A"/>
    <w:rsid w:val="00612E6D"/>
    <w:rsid w:val="006130C6"/>
    <w:rsid w:val="006176CE"/>
    <w:rsid w:val="00623290"/>
    <w:rsid w:val="006420B3"/>
    <w:rsid w:val="00642D9B"/>
    <w:rsid w:val="00644C8E"/>
    <w:rsid w:val="00650216"/>
    <w:rsid w:val="00673BFC"/>
    <w:rsid w:val="006776D9"/>
    <w:rsid w:val="0068217E"/>
    <w:rsid w:val="00691118"/>
    <w:rsid w:val="006A6970"/>
    <w:rsid w:val="006B5CEF"/>
    <w:rsid w:val="006B6D7C"/>
    <w:rsid w:val="006F01EF"/>
    <w:rsid w:val="0071081C"/>
    <w:rsid w:val="00716D52"/>
    <w:rsid w:val="00722053"/>
    <w:rsid w:val="00726980"/>
    <w:rsid w:val="00727582"/>
    <w:rsid w:val="007349CC"/>
    <w:rsid w:val="00742458"/>
    <w:rsid w:val="00754082"/>
    <w:rsid w:val="0076529A"/>
    <w:rsid w:val="007825E8"/>
    <w:rsid w:val="00783067"/>
    <w:rsid w:val="00791A8E"/>
    <w:rsid w:val="007A0F1B"/>
    <w:rsid w:val="007A6B2E"/>
    <w:rsid w:val="007D6EBE"/>
    <w:rsid w:val="007E5D6C"/>
    <w:rsid w:val="007F4EF1"/>
    <w:rsid w:val="00816BE0"/>
    <w:rsid w:val="008369ED"/>
    <w:rsid w:val="008446AE"/>
    <w:rsid w:val="00854DA2"/>
    <w:rsid w:val="00862028"/>
    <w:rsid w:val="008626EC"/>
    <w:rsid w:val="00882EFB"/>
    <w:rsid w:val="00893431"/>
    <w:rsid w:val="008A602C"/>
    <w:rsid w:val="008B0E3B"/>
    <w:rsid w:val="008B7B3D"/>
    <w:rsid w:val="008C7B82"/>
    <w:rsid w:val="00903444"/>
    <w:rsid w:val="00904D14"/>
    <w:rsid w:val="0090766C"/>
    <w:rsid w:val="0091774A"/>
    <w:rsid w:val="00944854"/>
    <w:rsid w:val="00953C1A"/>
    <w:rsid w:val="0095554A"/>
    <w:rsid w:val="00957FAF"/>
    <w:rsid w:val="00980B9E"/>
    <w:rsid w:val="009A07AF"/>
    <w:rsid w:val="009B112D"/>
    <w:rsid w:val="009B787A"/>
    <w:rsid w:val="009C0E09"/>
    <w:rsid w:val="009D2C47"/>
    <w:rsid w:val="009E04D4"/>
    <w:rsid w:val="009E6417"/>
    <w:rsid w:val="009F0D04"/>
    <w:rsid w:val="009F58A3"/>
    <w:rsid w:val="00A07202"/>
    <w:rsid w:val="00A11E04"/>
    <w:rsid w:val="00A16412"/>
    <w:rsid w:val="00A32B7C"/>
    <w:rsid w:val="00A45961"/>
    <w:rsid w:val="00A53332"/>
    <w:rsid w:val="00A53A30"/>
    <w:rsid w:val="00A56026"/>
    <w:rsid w:val="00A70831"/>
    <w:rsid w:val="00A7225E"/>
    <w:rsid w:val="00AB6E88"/>
    <w:rsid w:val="00AC1906"/>
    <w:rsid w:val="00B015FB"/>
    <w:rsid w:val="00B25366"/>
    <w:rsid w:val="00B412F6"/>
    <w:rsid w:val="00B461FD"/>
    <w:rsid w:val="00B46738"/>
    <w:rsid w:val="00B46D0C"/>
    <w:rsid w:val="00B9099D"/>
    <w:rsid w:val="00BA5850"/>
    <w:rsid w:val="00BC4F55"/>
    <w:rsid w:val="00BC597A"/>
    <w:rsid w:val="00BD58A9"/>
    <w:rsid w:val="00BD5D84"/>
    <w:rsid w:val="00C0777F"/>
    <w:rsid w:val="00C23821"/>
    <w:rsid w:val="00C26B45"/>
    <w:rsid w:val="00C31295"/>
    <w:rsid w:val="00C33F07"/>
    <w:rsid w:val="00C901A6"/>
    <w:rsid w:val="00CA4FC9"/>
    <w:rsid w:val="00CA77F8"/>
    <w:rsid w:val="00CB26FA"/>
    <w:rsid w:val="00CE220B"/>
    <w:rsid w:val="00CF483B"/>
    <w:rsid w:val="00CF7D08"/>
    <w:rsid w:val="00D05AAD"/>
    <w:rsid w:val="00D0686A"/>
    <w:rsid w:val="00D21B4E"/>
    <w:rsid w:val="00D85068"/>
    <w:rsid w:val="00D95083"/>
    <w:rsid w:val="00D96628"/>
    <w:rsid w:val="00DB7DDB"/>
    <w:rsid w:val="00DD2799"/>
    <w:rsid w:val="00DD35B7"/>
    <w:rsid w:val="00DE1205"/>
    <w:rsid w:val="00DE7549"/>
    <w:rsid w:val="00E021F2"/>
    <w:rsid w:val="00E06A20"/>
    <w:rsid w:val="00E164DF"/>
    <w:rsid w:val="00E27A08"/>
    <w:rsid w:val="00E27AD3"/>
    <w:rsid w:val="00E3387E"/>
    <w:rsid w:val="00E47A34"/>
    <w:rsid w:val="00E513E8"/>
    <w:rsid w:val="00E614BE"/>
    <w:rsid w:val="00E655BD"/>
    <w:rsid w:val="00E72B65"/>
    <w:rsid w:val="00E7627B"/>
    <w:rsid w:val="00E9639A"/>
    <w:rsid w:val="00EC1E2E"/>
    <w:rsid w:val="00EC1E59"/>
    <w:rsid w:val="00EC3330"/>
    <w:rsid w:val="00EC78CD"/>
    <w:rsid w:val="00ED5329"/>
    <w:rsid w:val="00ED72FB"/>
    <w:rsid w:val="00EE2669"/>
    <w:rsid w:val="00EF544E"/>
    <w:rsid w:val="00F02B9E"/>
    <w:rsid w:val="00F25604"/>
    <w:rsid w:val="00F33195"/>
    <w:rsid w:val="00F36BF8"/>
    <w:rsid w:val="00F64122"/>
    <w:rsid w:val="00F738FE"/>
    <w:rsid w:val="00F75818"/>
    <w:rsid w:val="00F77598"/>
    <w:rsid w:val="00F77C16"/>
    <w:rsid w:val="00F818D8"/>
    <w:rsid w:val="00F828CB"/>
    <w:rsid w:val="00FA0900"/>
    <w:rsid w:val="00FD39AB"/>
    <w:rsid w:val="00FE43CD"/>
    <w:rsid w:val="00FF2BBC"/>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7816">
      <w:bodyDiv w:val="1"/>
      <w:marLeft w:val="0"/>
      <w:marRight w:val="0"/>
      <w:marTop w:val="0"/>
      <w:marBottom w:val="0"/>
      <w:divBdr>
        <w:top w:val="none" w:sz="0" w:space="0" w:color="auto"/>
        <w:left w:val="none" w:sz="0" w:space="0" w:color="auto"/>
        <w:bottom w:val="none" w:sz="0" w:space="0" w:color="auto"/>
        <w:right w:val="none" w:sz="0" w:space="0" w:color="auto"/>
      </w:divBdr>
    </w:div>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E407-2D8C-4156-877B-6356D053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Lehman, Stacy</cp:lastModifiedBy>
  <cp:revision>7</cp:revision>
  <cp:lastPrinted>2016-07-11T12:51:00Z</cp:lastPrinted>
  <dcterms:created xsi:type="dcterms:W3CDTF">2016-07-10T20:06:00Z</dcterms:created>
  <dcterms:modified xsi:type="dcterms:W3CDTF">2016-07-14T11:41:00Z</dcterms:modified>
</cp:coreProperties>
</file>